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Calibri" w:hAnsi="Calibri"/>
          <w:b/>
          <w:color w:val="0B2C5C"/>
          <w:sz w:val="40"/>
        </w:rPr>
        <w:t>AbbVie Inc. (NYSE: ABBV)</w:t>
      </w:r>
    </w:p>
    <w:p>
      <w:r>
        <w:rPr>
          <w:i/>
          <w:color w:val="555F6B"/>
          <w:sz w:val="24"/>
        </w:rPr>
        <w:t>Q1 2026 Earnings Update  |  Pharmaceuticals - Immunology, Oncology, Neuroscience, Aesthetics</w:t>
      </w:r>
    </w:p>
    <w:p>
      <w:pPr>
        <w:pBdr>
          <w:bottom w:val="single" w:sz="8" w:space="1" w:color="0B2C5C"/>
        </w:pBdr>
      </w:pPr>
    </w:p>
    <w:tbl>
      <w:tblPr>
        <w:tblW w:type="auto" w:w="0"/>
        <w:tblLayout w:type="fixed"/>
        <w:tblLook w:firstColumn="1" w:firstRow="1" w:lastColumn="0" w:lastRow="0" w:noHBand="0" w:noVBand="1" w:val="04A0"/>
      </w:tblPr>
      <w:tblGrid>
        <w:gridCol w:w="2484"/>
        <w:gridCol w:w="2484"/>
        <w:gridCol w:w="2484"/>
        <w:gridCol w:w="2484"/>
      </w:tblGrid>
      <w:tr>
        <w:tc>
          <w:tcPr>
            <w:tcW w:type="dxa" w:w="2520"/>
            <w:shd w:val="clear" w:color="auto" w:fill="0B2C5C"/>
          </w:tcPr>
          <w:p>
            <w:pPr>
              <w:jc w:val="center"/>
            </w:pPr>
            <w:r/>
            <w:r>
              <w:rPr>
                <w:rFonts w:ascii="Calibri" w:hAnsi="Calibri"/>
                <w:color w:val="C8D4E6"/>
                <w:sz w:val="18"/>
              </w:rPr>
              <w:t>Rating</w:t>
            </w:r>
          </w:p>
          <w:p>
            <w:pPr>
              <w:jc w:val="center"/>
            </w:pPr>
            <w:r>
              <w:rPr>
                <w:rFonts w:ascii="Calibri" w:hAnsi="Calibri"/>
                <w:b/>
                <w:color w:val="FFFFFF"/>
                <w:sz w:val="26"/>
              </w:rPr>
              <w:t>BUY</w:t>
            </w:r>
          </w:p>
        </w:tc>
        <w:tc>
          <w:tcPr>
            <w:tcW w:type="dxa" w:w="2520"/>
            <w:shd w:val="clear" w:color="auto" w:fill="0B2C5C"/>
          </w:tcPr>
          <w:p>
            <w:pPr>
              <w:jc w:val="center"/>
            </w:pPr>
            <w:r/>
            <w:r>
              <w:rPr>
                <w:rFonts w:ascii="Calibri" w:hAnsi="Calibri"/>
                <w:color w:val="C8D4E6"/>
                <w:sz w:val="18"/>
              </w:rPr>
              <w:t>Price Target</w:t>
            </w:r>
          </w:p>
          <w:p>
            <w:pPr>
              <w:jc w:val="center"/>
            </w:pPr>
            <w:r>
              <w:rPr>
                <w:rFonts w:ascii="Calibri" w:hAnsi="Calibri"/>
                <w:b/>
                <w:color w:val="FFFFFF"/>
                <w:sz w:val="26"/>
              </w:rPr>
              <w:t>$255 (from $235)</w:t>
            </w:r>
          </w:p>
        </w:tc>
        <w:tc>
          <w:tcPr>
            <w:tcW w:type="dxa" w:w="2520"/>
            <w:shd w:val="clear" w:color="auto" w:fill="0B2C5C"/>
          </w:tcPr>
          <w:p>
            <w:pPr>
              <w:jc w:val="center"/>
            </w:pPr>
            <w:r/>
            <w:r>
              <w:rPr>
                <w:rFonts w:ascii="Calibri" w:hAnsi="Calibri"/>
                <w:color w:val="C8D4E6"/>
                <w:sz w:val="18"/>
              </w:rPr>
              <w:t>Current Price</w:t>
            </w:r>
          </w:p>
          <w:p>
            <w:pPr>
              <w:jc w:val="center"/>
            </w:pPr>
            <w:r>
              <w:rPr>
                <w:rFonts w:ascii="Calibri" w:hAnsi="Calibri"/>
                <w:b/>
                <w:color w:val="FFFFFF"/>
                <w:sz w:val="26"/>
              </w:rPr>
              <w:t>~$215</w:t>
            </w:r>
          </w:p>
        </w:tc>
        <w:tc>
          <w:tcPr>
            <w:tcW w:type="dxa" w:w="2520"/>
            <w:shd w:val="clear" w:color="auto" w:fill="0B2C5C"/>
          </w:tcPr>
          <w:p>
            <w:pPr>
              <w:jc w:val="center"/>
            </w:pPr>
            <w:r/>
            <w:r>
              <w:rPr>
                <w:rFonts w:ascii="Calibri" w:hAnsi="Calibri"/>
                <w:color w:val="C8D4E6"/>
                <w:sz w:val="18"/>
              </w:rPr>
              <w:t>Implied Return</w:t>
            </w:r>
          </w:p>
          <w:p>
            <w:pPr>
              <w:jc w:val="center"/>
            </w:pPr>
            <w:r>
              <w:rPr>
                <w:rFonts w:ascii="Calibri" w:hAnsi="Calibri"/>
                <w:b/>
                <w:color w:val="FFFFFF"/>
                <w:sz w:val="26"/>
              </w:rPr>
              <w:t>+18.6%</w:t>
            </w:r>
          </w:p>
        </w:tc>
      </w:tr>
    </w:tbl>
    <w:p>
      <w:pPr>
        <w:spacing w:after="80"/>
      </w:pPr>
      <w:r>
        <w:rPr>
          <w:rFonts w:ascii="Calibri" w:hAnsi="Calibri"/>
          <w:b w:val="0"/>
          <w:i/>
          <w:color w:val="555F6B"/>
          <w:sz w:val="18"/>
        </w:rPr>
        <w:t>Report date: May 2, 2026  |  Earnings released: April 29, 2026  |  Analyst: Finance Index Research</w:t>
      </w:r>
    </w:p>
    <w:p>
      <w:pPr>
        <w:spacing w:before="200" w:after="80"/>
      </w:pPr>
      <w:r>
        <w:rPr>
          <w:rFonts w:ascii="Calibri" w:hAnsi="Calibri"/>
          <w:b/>
          <w:color w:val="0B2C5C"/>
          <w:sz w:val="28"/>
        </w:rPr>
        <w:t>Executive Summary</w:t>
      </w:r>
    </w:p>
    <w:p>
      <w:pPr>
        <w:spacing w:after="80"/>
      </w:pPr>
      <w:r>
        <w:rPr>
          <w:rFonts w:ascii="Calibri" w:hAnsi="Calibri"/>
          <w:b w:val="0"/>
          <w:i w:val="0"/>
          <w:sz w:val="21"/>
        </w:rPr>
        <w:t>AbbVie delivered a clean beat-and-raise Q1 2026 print that, in our view, definitively closes the post-Humira-LOE chapter and reframes the equity story around a durable, fast-growing immunology-plus-neuroscience franchise. Reported revenue of $15.00B (+12.4% reported, +10.3% operational) beat the Street by ~$280M, driven by Skyrizi at $4.48B (+30.9%) and Rinvoq at $2.12B (+23.3%) - the immunology duo is now annualizing well above $26B and has structurally replaced Humira's peak revenue contribution. Adjusted EPS of $2.65 grew 7.7% YoY despite an unfavorable $0.41 IPR&amp;D charge; underlying ex-IPR&amp;D EPS would have been ~$3.06, indicating the headline modestly understates earnings power. Management raised FY26 adjusted EPS guidance to $14.08-$14.28 (mid $14.18, +0.8%) and revenue guidance to ~$67.3B. We raise our 12-month price target to $255 (from $235) on a 18.0x multiple to our 2026E adj. EPS of $14.20 plus an explicit 0.8x multiple uplift for the demonstrated post-Humira growth profile. Reiterate BUY. With a 3.5% dividend yield, mid-teens earnings growth visibility, and Skyrizi/Rinvoq peak sales now tracking toward $35B+ combined, ABBV remains one of the highest-conviction names in large-cap pharma.</w:t>
      </w:r>
    </w:p>
    <w:p>
      <w:pPr>
        <w:spacing w:before="120" w:after="40"/>
      </w:pPr>
      <w:r>
        <w:rPr>
          <w:rFonts w:ascii="Calibri" w:hAnsi="Calibri"/>
          <w:b/>
          <w:color w:val="0B2C5C"/>
          <w:sz w:val="22"/>
        </w:rPr>
        <w:t>Key Takeaways</w:t>
      </w:r>
    </w:p>
    <w:p>
      <w:pPr>
        <w:pStyle w:val="ListBullet"/>
        <w:spacing w:after="40"/>
      </w:pPr>
      <w:r>
        <w:rPr>
          <w:rFonts w:ascii="Calibri" w:hAnsi="Calibri"/>
          <w:b/>
          <w:sz w:val="21"/>
        </w:rPr>
        <w:t>Top-line beat:</w:t>
      </w:r>
      <w:r>
        <w:rPr>
          <w:rFonts w:ascii="Calibri" w:hAnsi="Calibri"/>
          <w:sz w:val="21"/>
        </w:rPr>
        <w:t xml:space="preserve"> Revenue beat $0.28B (+1.9%) on Skyrizi/Rinvoq immunology dominance and a 26.0% reported (24.3% operational) surge in neuroscience.</w:t>
      </w:r>
    </w:p>
    <w:p>
      <w:pPr>
        <w:pStyle w:val="ListBullet"/>
        <w:spacing w:after="40"/>
      </w:pPr>
      <w:r>
        <w:rPr>
          <w:rFonts w:ascii="Calibri" w:hAnsi="Calibri"/>
          <w:b/>
          <w:sz w:val="21"/>
        </w:rPr>
        <w:t>Bottom-line beat:</w:t>
      </w:r>
      <w:r>
        <w:rPr>
          <w:rFonts w:ascii="Calibri" w:hAnsi="Calibri"/>
          <w:sz w:val="21"/>
        </w:rPr>
        <w:t xml:space="preserve"> Adj. EPS of $2.65 vs $2.62 consensus (+1.1%); beat would have been wider ex-$0.41 IPR&amp;D charge on early-stage BD activity.</w:t>
      </w:r>
    </w:p>
    <w:p>
      <w:pPr>
        <w:pStyle w:val="ListBullet"/>
        <w:spacing w:after="40"/>
      </w:pPr>
      <w:r>
        <w:rPr>
          <w:rFonts w:ascii="Calibri" w:hAnsi="Calibri"/>
          <w:b/>
          <w:sz w:val="21"/>
        </w:rPr>
        <w:t>Guidance raised:</w:t>
      </w:r>
      <w:r>
        <w:rPr>
          <w:rFonts w:ascii="Calibri" w:hAnsi="Calibri"/>
          <w:sz w:val="21"/>
        </w:rPr>
        <w:t xml:space="preserve"> FY26 adj. EPS raised to $14.08-$14.28 (mid $14.18) from $13.96-$14.16; revenue raised to ~$67.3B from prior ~$67.0B.</w:t>
      </w:r>
    </w:p>
    <w:p>
      <w:pPr>
        <w:pStyle w:val="ListBullet"/>
        <w:spacing w:after="40"/>
      </w:pPr>
      <w:r>
        <w:rPr>
          <w:rFonts w:ascii="Calibri" w:hAnsi="Calibri"/>
          <w:b/>
          <w:sz w:val="21"/>
        </w:rPr>
        <w:t>Skyrizi acceleration:</w:t>
      </w:r>
      <w:r>
        <w:rPr>
          <w:rFonts w:ascii="Calibri" w:hAnsi="Calibri"/>
          <w:sz w:val="21"/>
        </w:rPr>
        <w:t xml:space="preserve"> Skyrizi $4.48B (+30.9% rep / +29.2% op), now annualizing $18B+; on track to exceed $20B run-rate by 2H26 - the largest non-GLP-1 drug in pharma.</w:t>
      </w:r>
    </w:p>
    <w:p>
      <w:pPr>
        <w:pStyle w:val="ListBullet"/>
        <w:spacing w:after="40"/>
      </w:pPr>
      <w:r>
        <w:rPr>
          <w:rFonts w:ascii="Calibri" w:hAnsi="Calibri"/>
          <w:b/>
          <w:sz w:val="21"/>
        </w:rPr>
        <w:t>Rinvoq strength:</w:t>
      </w:r>
      <w:r>
        <w:rPr>
          <w:rFonts w:ascii="Calibri" w:hAnsi="Calibri"/>
          <w:sz w:val="21"/>
        </w:rPr>
        <w:t xml:space="preserve"> Rinvoq $2.12B (+23.3%); UC, CD, atopic derm, and JIA label expansions continue to drive share gains versus IL-17 and IL-23 competitors.</w:t>
      </w:r>
    </w:p>
    <w:p>
      <w:pPr>
        <w:pStyle w:val="ListBullet"/>
        <w:spacing w:after="40"/>
      </w:pPr>
      <w:r>
        <w:rPr>
          <w:rFonts w:ascii="Calibri" w:hAnsi="Calibri"/>
          <w:b/>
          <w:sz w:val="21"/>
        </w:rPr>
        <w:t>Humira tail:</w:t>
      </w:r>
      <w:r>
        <w:rPr>
          <w:rFonts w:ascii="Calibri" w:hAnsi="Calibri"/>
          <w:sz w:val="21"/>
        </w:rPr>
        <w:t xml:space="preserve"> Humira $688M (-38.6%); biosimilar erosion now in the deep tail with the franchise on track to settle at ~$2.0-2.5B by 2027.</w:t>
      </w:r>
    </w:p>
    <w:p>
      <w:pPr>
        <w:pStyle w:val="ListBullet"/>
        <w:spacing w:after="40"/>
      </w:pPr>
      <w:r>
        <w:rPr>
          <w:rFonts w:ascii="Calibri" w:hAnsi="Calibri"/>
          <w:b/>
          <w:sz w:val="21"/>
        </w:rPr>
        <w:t>Neuroscience inflection:</w:t>
      </w:r>
      <w:r>
        <w:rPr>
          <w:rFonts w:ascii="Calibri" w:hAnsi="Calibri"/>
          <w:sz w:val="21"/>
        </w:rPr>
        <w:t xml:space="preserve"> Neuroscience +26.0% reported; Vraylar $905M (+18.4%) and Botox Therapeutic $1.01B (+16.5%) the standouts, with Qulipta and Ubrelvy in migraine continuing to ramp.</w:t>
      </w:r>
    </w:p>
    <w:p>
      <w:pPr>
        <w:pStyle w:val="ListBullet"/>
        <w:spacing w:after="40"/>
      </w:pPr>
      <w:r>
        <w:rPr>
          <w:rFonts w:ascii="Calibri" w:hAnsi="Calibri"/>
          <w:b/>
          <w:sz w:val="21"/>
        </w:rPr>
        <w:t>Capital return:</w:t>
      </w:r>
      <w:r>
        <w:rPr>
          <w:rFonts w:ascii="Calibri" w:hAnsi="Calibri"/>
          <w:sz w:val="21"/>
        </w:rPr>
        <w:t xml:space="preserve"> Board declared $1.73/quarter dividend ($6.92 annualized); 54-year continuous dividend payment record between AbbVie and predecessor Abbott Labs.</w:t>
      </w:r>
    </w:p>
    <w:p>
      <w:pPr>
        <w:spacing w:before="120" w:after="40"/>
      </w:pPr>
      <w:r>
        <w:rPr>
          <w:rFonts w:ascii="Calibri" w:hAnsi="Calibri"/>
          <w:b/>
          <w:color w:val="0B2C5C"/>
          <w:sz w:val="22"/>
        </w:rPr>
        <w:t>Results Snapshot - Q1 2026</w:t>
      </w:r>
    </w:p>
    <w:tbl>
      <w:tblPr>
        <w:tblStyle w:val="LightGrid-Accent1"/>
        <w:tblW w:type="auto" w:w="0"/>
        <w:tblLayout w:type="fixed"/>
        <w:tblLook w:firstColumn="1" w:firstRow="1" w:lastColumn="0" w:lastRow="0" w:noHBand="0" w:noVBand="1" w:val="04A0"/>
      </w:tblPr>
      <w:tblGrid>
        <w:gridCol w:w="2484"/>
        <w:gridCol w:w="2484"/>
        <w:gridCol w:w="2484"/>
        <w:gridCol w:w="2484"/>
      </w:tblGrid>
      <w:tr>
        <w:tc>
          <w:tcPr>
            <w:tcW w:type="dxa" w:w="2448"/>
            <w:shd w:val="clear" w:color="auto" w:fill="0B2C5C"/>
          </w:tcPr>
          <w:p>
            <w:r/>
            <w:r>
              <w:rPr>
                <w:rFonts w:ascii="Calibri" w:hAnsi="Calibri"/>
                <w:b/>
                <w:color w:val="FFFFFF"/>
                <w:sz w:val="20"/>
              </w:rPr>
              <w:t>Metric</w:t>
            </w:r>
          </w:p>
        </w:tc>
        <w:tc>
          <w:tcPr>
            <w:tcW w:type="dxa" w:w="2304"/>
            <w:shd w:val="clear" w:color="auto" w:fill="0B2C5C"/>
          </w:tcPr>
          <w:p>
            <w:r/>
            <w:r>
              <w:rPr>
                <w:rFonts w:ascii="Calibri" w:hAnsi="Calibri"/>
                <w:b/>
                <w:color w:val="FFFFFF"/>
                <w:sz w:val="20"/>
              </w:rPr>
              <w:t>Q1 2026 Actual</w:t>
            </w:r>
          </w:p>
        </w:tc>
        <w:tc>
          <w:tcPr>
            <w:tcW w:type="dxa" w:w="2880"/>
            <w:shd w:val="clear" w:color="auto" w:fill="0B2C5C"/>
          </w:tcPr>
          <w:p>
            <w:r/>
            <w:r>
              <w:rPr>
                <w:rFonts w:ascii="Calibri" w:hAnsi="Calibri"/>
                <w:b/>
                <w:color w:val="FFFFFF"/>
                <w:sz w:val="20"/>
              </w:rPr>
              <w:t>Consensus / Prior</w:t>
            </w:r>
          </w:p>
        </w:tc>
        <w:tc>
          <w:tcPr>
            <w:tcW w:type="dxa" w:w="2448"/>
            <w:shd w:val="clear" w:color="auto" w:fill="0B2C5C"/>
          </w:tcPr>
          <w:p>
            <w:r/>
            <w:r>
              <w:rPr>
                <w:rFonts w:ascii="Calibri" w:hAnsi="Calibri"/>
                <w:b/>
                <w:color w:val="FFFFFF"/>
                <w:sz w:val="20"/>
              </w:rPr>
              <w:t>Variance</w:t>
            </w:r>
          </w:p>
        </w:tc>
      </w:tr>
      <w:tr>
        <w:tc>
          <w:tcPr>
            <w:tcW w:type="dxa" w:w="2448"/>
          </w:tcPr>
          <w:p>
            <w:r/>
            <w:r>
              <w:rPr>
                <w:rFonts w:ascii="Calibri" w:hAnsi="Calibri"/>
                <w:sz w:val="20"/>
              </w:rPr>
              <w:t>Revenue</w:t>
            </w:r>
          </w:p>
        </w:tc>
        <w:tc>
          <w:tcPr>
            <w:tcW w:type="dxa" w:w="2304"/>
          </w:tcPr>
          <w:p>
            <w:r/>
            <w:r>
              <w:rPr>
                <w:rFonts w:ascii="Calibri" w:hAnsi="Calibri"/>
                <w:sz w:val="20"/>
              </w:rPr>
              <w:t>$15.00B</w:t>
            </w:r>
          </w:p>
        </w:tc>
        <w:tc>
          <w:tcPr>
            <w:tcW w:type="dxa" w:w="2880"/>
          </w:tcPr>
          <w:p>
            <w:r/>
            <w:r>
              <w:rPr>
                <w:rFonts w:ascii="Calibri" w:hAnsi="Calibri"/>
                <w:sz w:val="20"/>
              </w:rPr>
              <w:t>$14.72B (cons.)</w:t>
            </w:r>
          </w:p>
        </w:tc>
        <w:tc>
          <w:tcPr>
            <w:tcW w:type="dxa" w:w="2448"/>
          </w:tcPr>
          <w:p>
            <w:r/>
            <w:r>
              <w:rPr>
                <w:rFonts w:ascii="Calibri" w:hAnsi="Calibri"/>
                <w:sz w:val="20"/>
              </w:rPr>
              <w:t>+$280M / +1.9%</w:t>
            </w:r>
          </w:p>
        </w:tc>
      </w:tr>
      <w:tr>
        <w:tc>
          <w:tcPr>
            <w:tcW w:type="dxa" w:w="2448"/>
            <w:shd w:val="clear" w:color="auto" w:fill="F4F7FB"/>
          </w:tcPr>
          <w:p>
            <w:r/>
            <w:r>
              <w:rPr>
                <w:rFonts w:ascii="Calibri" w:hAnsi="Calibri"/>
                <w:sz w:val="20"/>
              </w:rPr>
              <w:t>Reported sales growth</w:t>
            </w:r>
          </w:p>
        </w:tc>
        <w:tc>
          <w:tcPr>
            <w:tcW w:type="dxa" w:w="2304"/>
            <w:shd w:val="clear" w:color="auto" w:fill="F4F7FB"/>
          </w:tcPr>
          <w:p>
            <w:r/>
            <w:r>
              <w:rPr>
                <w:rFonts w:ascii="Calibri" w:hAnsi="Calibri"/>
                <w:sz w:val="20"/>
              </w:rPr>
              <w:t>+12.4%</w:t>
            </w:r>
          </w:p>
        </w:tc>
        <w:tc>
          <w:tcPr>
            <w:tcW w:type="dxa" w:w="2880"/>
            <w:shd w:val="clear" w:color="auto" w:fill="F4F7FB"/>
          </w:tcPr>
          <w:p>
            <w:r/>
            <w:r>
              <w:rPr>
                <w:rFonts w:ascii="Calibri" w:hAnsi="Calibri"/>
                <w:sz w:val="20"/>
              </w:rPr>
              <w:t>+0.7% (Q1'25 YoY)</w:t>
            </w:r>
          </w:p>
        </w:tc>
        <w:tc>
          <w:tcPr>
            <w:tcW w:type="dxa" w:w="2448"/>
            <w:shd w:val="clear" w:color="auto" w:fill="F4F7FB"/>
          </w:tcPr>
          <w:p>
            <w:r/>
            <w:r>
              <w:rPr>
                <w:rFonts w:ascii="Calibri" w:hAnsi="Calibri"/>
                <w:sz w:val="20"/>
              </w:rPr>
              <w:t>+1,170bps</w:t>
            </w:r>
          </w:p>
        </w:tc>
      </w:tr>
      <w:tr>
        <w:tc>
          <w:tcPr>
            <w:tcW w:type="dxa" w:w="2448"/>
          </w:tcPr>
          <w:p>
            <w:r/>
            <w:r>
              <w:rPr>
                <w:rFonts w:ascii="Calibri" w:hAnsi="Calibri"/>
                <w:sz w:val="20"/>
              </w:rPr>
              <w:t>Operational sales growth</w:t>
            </w:r>
          </w:p>
        </w:tc>
        <w:tc>
          <w:tcPr>
            <w:tcW w:type="dxa" w:w="2304"/>
          </w:tcPr>
          <w:p>
            <w:r/>
            <w:r>
              <w:rPr>
                <w:rFonts w:ascii="Calibri" w:hAnsi="Calibri"/>
                <w:sz w:val="20"/>
              </w:rPr>
              <w:t>+10.3%</w:t>
            </w:r>
          </w:p>
        </w:tc>
        <w:tc>
          <w:tcPr>
            <w:tcW w:type="dxa" w:w="2880"/>
          </w:tcPr>
          <w:p>
            <w:r/>
            <w:r>
              <w:rPr>
                <w:rFonts w:ascii="Calibri" w:hAnsi="Calibri"/>
                <w:sz w:val="20"/>
              </w:rPr>
              <w:t>n/a</w:t>
            </w:r>
          </w:p>
        </w:tc>
        <w:tc>
          <w:tcPr>
            <w:tcW w:type="dxa" w:w="2448"/>
          </w:tcPr>
          <w:p>
            <w:r/>
            <w:r>
              <w:rPr>
                <w:rFonts w:ascii="Calibri" w:hAnsi="Calibri"/>
                <w:sz w:val="20"/>
              </w:rPr>
              <w:t>Above plan</w:t>
            </w:r>
          </w:p>
        </w:tc>
      </w:tr>
      <w:tr>
        <w:tc>
          <w:tcPr>
            <w:tcW w:type="dxa" w:w="2448"/>
            <w:shd w:val="clear" w:color="auto" w:fill="F4F7FB"/>
          </w:tcPr>
          <w:p>
            <w:r/>
            <w:r>
              <w:rPr>
                <w:rFonts w:ascii="Calibri" w:hAnsi="Calibri"/>
                <w:sz w:val="20"/>
              </w:rPr>
              <w:t>GAAP diluted EPS</w:t>
            </w:r>
          </w:p>
        </w:tc>
        <w:tc>
          <w:tcPr>
            <w:tcW w:type="dxa" w:w="2304"/>
            <w:shd w:val="clear" w:color="auto" w:fill="F4F7FB"/>
          </w:tcPr>
          <w:p>
            <w:r/>
            <w:r>
              <w:rPr>
                <w:rFonts w:ascii="Calibri" w:hAnsi="Calibri"/>
                <w:sz w:val="20"/>
              </w:rPr>
              <w:t>$0.39</w:t>
            </w:r>
          </w:p>
        </w:tc>
        <w:tc>
          <w:tcPr>
            <w:tcW w:type="dxa" w:w="2880"/>
            <w:shd w:val="clear" w:color="auto" w:fill="F4F7FB"/>
          </w:tcPr>
          <w:p>
            <w:r/>
            <w:r>
              <w:rPr>
                <w:rFonts w:ascii="Calibri" w:hAnsi="Calibri"/>
                <w:sz w:val="20"/>
              </w:rPr>
              <w:t>$0.72 (Q1'25)</w:t>
            </w:r>
          </w:p>
        </w:tc>
        <w:tc>
          <w:tcPr>
            <w:tcW w:type="dxa" w:w="2448"/>
            <w:shd w:val="clear" w:color="auto" w:fill="F4F7FB"/>
          </w:tcPr>
          <w:p>
            <w:r/>
            <w:r>
              <w:rPr>
                <w:rFonts w:ascii="Calibri" w:hAnsi="Calibri"/>
                <w:sz w:val="20"/>
              </w:rPr>
              <w:t>(45.8%)</w:t>
            </w:r>
          </w:p>
        </w:tc>
      </w:tr>
      <w:tr>
        <w:tc>
          <w:tcPr>
            <w:tcW w:type="dxa" w:w="2448"/>
          </w:tcPr>
          <w:p>
            <w:r/>
            <w:r>
              <w:rPr>
                <w:rFonts w:ascii="Calibri" w:hAnsi="Calibri"/>
                <w:sz w:val="20"/>
              </w:rPr>
              <w:t>Adjusted diluted EPS</w:t>
            </w:r>
          </w:p>
        </w:tc>
        <w:tc>
          <w:tcPr>
            <w:tcW w:type="dxa" w:w="2304"/>
          </w:tcPr>
          <w:p>
            <w:r/>
            <w:r>
              <w:rPr>
                <w:rFonts w:ascii="Calibri" w:hAnsi="Calibri"/>
                <w:sz w:val="20"/>
              </w:rPr>
              <w:t>$2.65</w:t>
            </w:r>
          </w:p>
        </w:tc>
        <w:tc>
          <w:tcPr>
            <w:tcW w:type="dxa" w:w="2880"/>
          </w:tcPr>
          <w:p>
            <w:r/>
            <w:r>
              <w:rPr>
                <w:rFonts w:ascii="Calibri" w:hAnsi="Calibri"/>
                <w:sz w:val="20"/>
              </w:rPr>
              <w:t>$2.62 (cons.)</w:t>
            </w:r>
          </w:p>
        </w:tc>
        <w:tc>
          <w:tcPr>
            <w:tcW w:type="dxa" w:w="2448"/>
          </w:tcPr>
          <w:p>
            <w:r/>
            <w:r>
              <w:rPr>
                <w:rFonts w:ascii="Calibri" w:hAnsi="Calibri"/>
                <w:sz w:val="20"/>
              </w:rPr>
              <w:t>+$0.03 / +1.1%</w:t>
            </w:r>
          </w:p>
        </w:tc>
      </w:tr>
      <w:tr>
        <w:tc>
          <w:tcPr>
            <w:tcW w:type="dxa" w:w="2448"/>
            <w:shd w:val="clear" w:color="auto" w:fill="F4F7FB"/>
          </w:tcPr>
          <w:p>
            <w:r/>
            <w:r>
              <w:rPr>
                <w:rFonts w:ascii="Calibri" w:hAnsi="Calibri"/>
                <w:sz w:val="20"/>
              </w:rPr>
              <w:t>Adj. operating margin</w:t>
            </w:r>
          </w:p>
        </w:tc>
        <w:tc>
          <w:tcPr>
            <w:tcW w:type="dxa" w:w="2304"/>
            <w:shd w:val="clear" w:color="auto" w:fill="F4F7FB"/>
          </w:tcPr>
          <w:p>
            <w:r/>
            <w:r>
              <w:rPr>
                <w:rFonts w:ascii="Calibri" w:hAnsi="Calibri"/>
                <w:sz w:val="20"/>
              </w:rPr>
              <w:t>40.8%</w:t>
            </w:r>
          </w:p>
        </w:tc>
        <w:tc>
          <w:tcPr>
            <w:tcW w:type="dxa" w:w="2880"/>
            <w:shd w:val="clear" w:color="auto" w:fill="F4F7FB"/>
          </w:tcPr>
          <w:p>
            <w:r/>
            <w:r>
              <w:rPr>
                <w:rFonts w:ascii="Calibri" w:hAnsi="Calibri"/>
                <w:sz w:val="20"/>
              </w:rPr>
              <w:t>~42.0% (Q1'25)</w:t>
            </w:r>
          </w:p>
        </w:tc>
        <w:tc>
          <w:tcPr>
            <w:tcW w:type="dxa" w:w="2448"/>
            <w:shd w:val="clear" w:color="auto" w:fill="F4F7FB"/>
          </w:tcPr>
          <w:p>
            <w:r/>
            <w:r>
              <w:rPr>
                <w:rFonts w:ascii="Calibri" w:hAnsi="Calibri"/>
                <w:sz w:val="20"/>
              </w:rPr>
              <w:t>(120bps)</w:t>
            </w:r>
          </w:p>
        </w:tc>
      </w:tr>
      <w:tr>
        <w:tc>
          <w:tcPr>
            <w:tcW w:type="dxa" w:w="2448"/>
          </w:tcPr>
          <w:p>
            <w:r/>
            <w:r>
              <w:rPr>
                <w:rFonts w:ascii="Calibri" w:hAnsi="Calibri"/>
                <w:sz w:val="20"/>
              </w:rPr>
              <w:t>Adj. gross margin</w:t>
            </w:r>
          </w:p>
        </w:tc>
        <w:tc>
          <w:tcPr>
            <w:tcW w:type="dxa" w:w="2304"/>
          </w:tcPr>
          <w:p>
            <w:r/>
            <w:r>
              <w:rPr>
                <w:rFonts w:ascii="Calibri" w:hAnsi="Calibri"/>
                <w:sz w:val="20"/>
              </w:rPr>
              <w:t>83.6%</w:t>
            </w:r>
          </w:p>
        </w:tc>
        <w:tc>
          <w:tcPr>
            <w:tcW w:type="dxa" w:w="2880"/>
          </w:tcPr>
          <w:p>
            <w:r/>
            <w:r>
              <w:rPr>
                <w:rFonts w:ascii="Calibri" w:hAnsi="Calibri"/>
                <w:sz w:val="20"/>
              </w:rPr>
              <w:t>~84.0% (Q1'25)</w:t>
            </w:r>
          </w:p>
        </w:tc>
        <w:tc>
          <w:tcPr>
            <w:tcW w:type="dxa" w:w="2448"/>
          </w:tcPr>
          <w:p>
            <w:r/>
            <w:r>
              <w:rPr>
                <w:rFonts w:ascii="Calibri" w:hAnsi="Calibri"/>
                <w:sz w:val="20"/>
              </w:rPr>
              <w:t>(40bps)</w:t>
            </w:r>
          </w:p>
        </w:tc>
      </w:tr>
      <w:tr>
        <w:tc>
          <w:tcPr>
            <w:tcW w:type="dxa" w:w="2448"/>
            <w:shd w:val="clear" w:color="auto" w:fill="F4F7FB"/>
          </w:tcPr>
          <w:p>
            <w:r/>
            <w:r>
              <w:rPr>
                <w:rFonts w:ascii="Calibri" w:hAnsi="Calibri"/>
                <w:sz w:val="20"/>
              </w:rPr>
              <w:t>GAAP operating margin</w:t>
            </w:r>
          </w:p>
        </w:tc>
        <w:tc>
          <w:tcPr>
            <w:tcW w:type="dxa" w:w="2304"/>
            <w:shd w:val="clear" w:color="auto" w:fill="F4F7FB"/>
          </w:tcPr>
          <w:p>
            <w:r/>
            <w:r>
              <w:rPr>
                <w:rFonts w:ascii="Calibri" w:hAnsi="Calibri"/>
                <w:sz w:val="20"/>
              </w:rPr>
              <w:t>26.6%</w:t>
            </w:r>
          </w:p>
        </w:tc>
        <w:tc>
          <w:tcPr>
            <w:tcW w:type="dxa" w:w="2880"/>
            <w:shd w:val="clear" w:color="auto" w:fill="F4F7FB"/>
          </w:tcPr>
          <w:p>
            <w:r/>
            <w:r>
              <w:rPr>
                <w:rFonts w:ascii="Calibri" w:hAnsi="Calibri"/>
                <w:sz w:val="20"/>
              </w:rPr>
              <w:t>~28% (Q1'25)</w:t>
            </w:r>
          </w:p>
        </w:tc>
        <w:tc>
          <w:tcPr>
            <w:tcW w:type="dxa" w:w="2448"/>
            <w:shd w:val="clear" w:color="auto" w:fill="F4F7FB"/>
          </w:tcPr>
          <w:p>
            <w:r/>
            <w:r>
              <w:rPr>
                <w:rFonts w:ascii="Calibri" w:hAnsi="Calibri"/>
                <w:sz w:val="20"/>
              </w:rPr>
              <w:t>Wider GAAP/Adj. gap</w:t>
            </w:r>
          </w:p>
        </w:tc>
      </w:tr>
    </w:tbl>
    <w:p>
      <w:r>
        <w:br w:type="page"/>
      </w:r>
    </w:p>
    <w:p>
      <w:pPr>
        <w:spacing w:before="280" w:after="160"/>
      </w:pPr>
      <w:r>
        <w:rPr>
          <w:rFonts w:ascii="Calibri" w:hAnsi="Calibri"/>
          <w:b/>
          <w:color w:val="0B2C5C"/>
          <w:sz w:val="36"/>
        </w:rPr>
        <w:t>Detailed Quarterly Results</w:t>
      </w:r>
    </w:p>
    <w:p>
      <w:pPr>
        <w:spacing w:before="200" w:after="80"/>
      </w:pPr>
      <w:r>
        <w:rPr>
          <w:rFonts w:ascii="Calibri" w:hAnsi="Calibri"/>
          <w:b/>
          <w:color w:val="0B2C5C"/>
          <w:sz w:val="28"/>
        </w:rPr>
        <w:t>Consolidated P&amp;L Walk</w:t>
      </w:r>
    </w:p>
    <w:p>
      <w:pPr>
        <w:spacing w:after="80"/>
      </w:pPr>
      <w:r>
        <w:rPr>
          <w:rFonts w:ascii="Calibri" w:hAnsi="Calibri"/>
          <w:b w:val="0"/>
          <w:i w:val="0"/>
          <w:sz w:val="21"/>
        </w:rPr>
        <w:t>Total revenue of $15.00B (+12.4% reported, +10.3% operational) is the strongest quarterly print AbbVie has delivered since the Humira loss-of-exclusivity began in early 2023. The 210bps gap between reported and operational growth reflects FX tailwinds (USD weakness vs. EUR and key emerging market currencies). Critically, this is the first quarter since Humira's LOE in which the residual Humira drag (-$432M YoY at this run-rate) has been comfortably absorbed by Skyrizi/Rinvoq incremental contribution (+$1.45B combined YoY), producing genuine ex-Humira immunology growth at a low-double-digit pace.</w:t>
      </w:r>
    </w:p>
    <w:p>
      <w:pPr>
        <w:spacing w:after="80"/>
      </w:pPr>
      <w:r>
        <w:rPr>
          <w:rFonts w:ascii="Calibri" w:hAnsi="Calibri"/>
          <w:b w:val="0"/>
          <w:i w:val="0"/>
          <w:sz w:val="21"/>
        </w:rPr>
        <w:t>GAAP diluted EPS of $0.39 declined 45.8% YoY, primarily reflecting a $744M one-time IPR&amp;D and milestone charge tied to early-stage business development activity. Stripped of acquisition accounting noise, IPR&amp;D, and intangible amortization, adjusted diluted EPS of $2.65 grew 7.7% YoY versus $2.46 in Q1 2025 - and was modestly above the $2.62 consensus. Importantly, the $0.41 per share IPR&amp;D charge was incurred in-quarter (versus typically being a smoother annual line item), so the underlying Q1 EPS run-rate would have been ~$3.06 absent the charge. We adjust our model to add the full-year IPR&amp;D back to mid-2.30s/share over four quarters and arrive at a clean ~$14.20 adjusted EPS for 2026.</w:t>
      </w:r>
    </w:p>
    <w:p>
      <w:pPr>
        <w:spacing w:before="200" w:after="80"/>
      </w:pPr>
      <w:r>
        <w:rPr>
          <w:rFonts w:ascii="Calibri" w:hAnsi="Calibri"/>
          <w:b/>
          <w:color w:val="0B2C5C"/>
          <w:sz w:val="28"/>
        </w:rPr>
        <w:t>Therapeutic Area Revenue Performance</w:t>
      </w:r>
    </w:p>
    <w:tbl>
      <w:tblPr>
        <w:tblStyle w:val="LightGrid-Accent1"/>
        <w:tblW w:type="auto" w:w="0"/>
        <w:tblLayout w:type="fixed"/>
        <w:tblLook w:firstColumn="1" w:firstRow="1" w:lastColumn="0" w:lastRow="0" w:noHBand="0" w:noVBand="1" w:val="04A0"/>
      </w:tblPr>
      <w:tblGrid>
        <w:gridCol w:w="2484"/>
        <w:gridCol w:w="2484"/>
        <w:gridCol w:w="2484"/>
        <w:gridCol w:w="2484"/>
      </w:tblGrid>
      <w:tr>
        <w:tc>
          <w:tcPr>
            <w:tcW w:type="dxa" w:w="2880"/>
            <w:shd w:val="clear" w:color="auto" w:fill="0B2C5C"/>
          </w:tcPr>
          <w:p>
            <w:r/>
            <w:r>
              <w:rPr>
                <w:rFonts w:ascii="Calibri" w:hAnsi="Calibri"/>
                <w:b/>
                <w:color w:val="FFFFFF"/>
                <w:sz w:val="20"/>
              </w:rPr>
              <w:t>Therapeutic Area</w:t>
            </w:r>
          </w:p>
        </w:tc>
        <w:tc>
          <w:tcPr>
            <w:tcW w:type="dxa" w:w="2160"/>
            <w:shd w:val="clear" w:color="auto" w:fill="0B2C5C"/>
          </w:tcPr>
          <w:p>
            <w:r/>
            <w:r>
              <w:rPr>
                <w:rFonts w:ascii="Calibri" w:hAnsi="Calibri"/>
                <w:b/>
                <w:color w:val="FFFFFF"/>
                <w:sz w:val="20"/>
              </w:rPr>
              <w:t>Q1'26 Revenue</w:t>
            </w:r>
          </w:p>
        </w:tc>
        <w:tc>
          <w:tcPr>
            <w:tcW w:type="dxa" w:w="2016"/>
            <w:shd w:val="clear" w:color="auto" w:fill="0B2C5C"/>
          </w:tcPr>
          <w:p>
            <w:r/>
            <w:r>
              <w:rPr>
                <w:rFonts w:ascii="Calibri" w:hAnsi="Calibri"/>
                <w:b/>
                <w:color w:val="FFFFFF"/>
                <w:sz w:val="20"/>
              </w:rPr>
              <w:t>Reported %</w:t>
            </w:r>
          </w:p>
        </w:tc>
        <w:tc>
          <w:tcPr>
            <w:tcW w:type="dxa" w:w="2016"/>
            <w:shd w:val="clear" w:color="auto" w:fill="0B2C5C"/>
          </w:tcPr>
          <w:p>
            <w:r/>
            <w:r>
              <w:rPr>
                <w:rFonts w:ascii="Calibri" w:hAnsi="Calibri"/>
                <w:b/>
                <w:color w:val="FFFFFF"/>
                <w:sz w:val="20"/>
              </w:rPr>
              <w:t>Operational %</w:t>
            </w:r>
          </w:p>
        </w:tc>
      </w:tr>
      <w:tr>
        <w:tc>
          <w:tcPr>
            <w:tcW w:type="dxa" w:w="2880"/>
          </w:tcPr>
          <w:p>
            <w:r/>
            <w:r>
              <w:rPr>
                <w:rFonts w:ascii="Calibri" w:hAnsi="Calibri"/>
                <w:sz w:val="20"/>
              </w:rPr>
              <w:t>Immunology</w:t>
            </w:r>
          </w:p>
        </w:tc>
        <w:tc>
          <w:tcPr>
            <w:tcW w:type="dxa" w:w="2160"/>
          </w:tcPr>
          <w:p>
            <w:r/>
            <w:r>
              <w:rPr>
                <w:rFonts w:ascii="Calibri" w:hAnsi="Calibri"/>
                <w:sz w:val="20"/>
              </w:rPr>
              <w:t>$7.29B</w:t>
            </w:r>
          </w:p>
        </w:tc>
        <w:tc>
          <w:tcPr>
            <w:tcW w:type="dxa" w:w="2016"/>
          </w:tcPr>
          <w:p>
            <w:r/>
            <w:r>
              <w:rPr>
                <w:rFonts w:ascii="Calibri" w:hAnsi="Calibri"/>
                <w:sz w:val="20"/>
              </w:rPr>
              <w:t>+16.4%</w:t>
            </w:r>
          </w:p>
        </w:tc>
        <w:tc>
          <w:tcPr>
            <w:tcW w:type="dxa" w:w="2016"/>
          </w:tcPr>
          <w:p>
            <w:r/>
            <w:r>
              <w:rPr>
                <w:rFonts w:ascii="Calibri" w:hAnsi="Calibri"/>
                <w:sz w:val="20"/>
              </w:rPr>
              <w:t>+14.3%</w:t>
            </w:r>
          </w:p>
        </w:tc>
      </w:tr>
      <w:tr>
        <w:tc>
          <w:tcPr>
            <w:tcW w:type="dxa" w:w="2880"/>
            <w:shd w:val="clear" w:color="auto" w:fill="F4F7FB"/>
          </w:tcPr>
          <w:p>
            <w:r/>
            <w:r>
              <w:rPr>
                <w:rFonts w:ascii="Calibri" w:hAnsi="Calibri"/>
                <w:sz w:val="20"/>
              </w:rPr>
              <w:t>Oncology</w:t>
            </w:r>
          </w:p>
        </w:tc>
        <w:tc>
          <w:tcPr>
            <w:tcW w:type="dxa" w:w="2160"/>
            <w:shd w:val="clear" w:color="auto" w:fill="F4F7FB"/>
          </w:tcPr>
          <w:p>
            <w:r/>
            <w:r>
              <w:rPr>
                <w:rFonts w:ascii="Calibri" w:hAnsi="Calibri"/>
                <w:sz w:val="20"/>
              </w:rPr>
              <w:t>$1.63B</w:t>
            </w:r>
          </w:p>
        </w:tc>
        <w:tc>
          <w:tcPr>
            <w:tcW w:type="dxa" w:w="2016"/>
            <w:shd w:val="clear" w:color="auto" w:fill="F4F7FB"/>
          </w:tcPr>
          <w:p>
            <w:r/>
            <w:r>
              <w:rPr>
                <w:rFonts w:ascii="Calibri" w:hAnsi="Calibri"/>
                <w:sz w:val="20"/>
              </w:rPr>
              <w:t>(0.2%)</w:t>
            </w:r>
          </w:p>
        </w:tc>
        <w:tc>
          <w:tcPr>
            <w:tcW w:type="dxa" w:w="2016"/>
            <w:shd w:val="clear" w:color="auto" w:fill="F4F7FB"/>
          </w:tcPr>
          <w:p>
            <w:r/>
            <w:r>
              <w:rPr>
                <w:rFonts w:ascii="Calibri" w:hAnsi="Calibri"/>
                <w:sz w:val="20"/>
              </w:rPr>
              <w:t>(3.0%)</w:t>
            </w:r>
          </w:p>
        </w:tc>
      </w:tr>
      <w:tr>
        <w:tc>
          <w:tcPr>
            <w:tcW w:type="dxa" w:w="2880"/>
          </w:tcPr>
          <w:p>
            <w:r/>
            <w:r>
              <w:rPr>
                <w:rFonts w:ascii="Calibri" w:hAnsi="Calibri"/>
                <w:sz w:val="20"/>
              </w:rPr>
              <w:t>Neuroscience</w:t>
            </w:r>
          </w:p>
        </w:tc>
        <w:tc>
          <w:tcPr>
            <w:tcW w:type="dxa" w:w="2160"/>
          </w:tcPr>
          <w:p>
            <w:r/>
            <w:r>
              <w:rPr>
                <w:rFonts w:ascii="Calibri" w:hAnsi="Calibri"/>
                <w:sz w:val="20"/>
              </w:rPr>
              <w:t>$2.88B</w:t>
            </w:r>
          </w:p>
        </w:tc>
        <w:tc>
          <w:tcPr>
            <w:tcW w:type="dxa" w:w="2016"/>
          </w:tcPr>
          <w:p>
            <w:r/>
            <w:r>
              <w:rPr>
                <w:rFonts w:ascii="Calibri" w:hAnsi="Calibri"/>
                <w:sz w:val="20"/>
              </w:rPr>
              <w:t>+26.0%</w:t>
            </w:r>
          </w:p>
        </w:tc>
        <w:tc>
          <w:tcPr>
            <w:tcW w:type="dxa" w:w="2016"/>
          </w:tcPr>
          <w:p>
            <w:r/>
            <w:r>
              <w:rPr>
                <w:rFonts w:ascii="Calibri" w:hAnsi="Calibri"/>
                <w:sz w:val="20"/>
              </w:rPr>
              <w:t>+24.3%</w:t>
            </w:r>
          </w:p>
        </w:tc>
      </w:tr>
      <w:tr>
        <w:tc>
          <w:tcPr>
            <w:tcW w:type="dxa" w:w="2880"/>
            <w:shd w:val="clear" w:color="auto" w:fill="F4F7FB"/>
          </w:tcPr>
          <w:p>
            <w:r/>
            <w:r>
              <w:rPr>
                <w:rFonts w:ascii="Calibri" w:hAnsi="Calibri"/>
                <w:sz w:val="20"/>
              </w:rPr>
              <w:t>Aesthetics</w:t>
            </w:r>
          </w:p>
        </w:tc>
        <w:tc>
          <w:tcPr>
            <w:tcW w:type="dxa" w:w="2160"/>
            <w:shd w:val="clear" w:color="auto" w:fill="F4F7FB"/>
          </w:tcPr>
          <w:p>
            <w:r/>
            <w:r>
              <w:rPr>
                <w:rFonts w:ascii="Calibri" w:hAnsi="Calibri"/>
                <w:sz w:val="20"/>
              </w:rPr>
              <w:t>$1.19B</w:t>
            </w:r>
          </w:p>
        </w:tc>
        <w:tc>
          <w:tcPr>
            <w:tcW w:type="dxa" w:w="2016"/>
            <w:shd w:val="clear" w:color="auto" w:fill="F4F7FB"/>
          </w:tcPr>
          <w:p>
            <w:r/>
            <w:r>
              <w:rPr>
                <w:rFonts w:ascii="Calibri" w:hAnsi="Calibri"/>
                <w:sz w:val="20"/>
              </w:rPr>
              <w:t>+7.6%</w:t>
            </w:r>
          </w:p>
        </w:tc>
        <w:tc>
          <w:tcPr>
            <w:tcW w:type="dxa" w:w="2016"/>
            <w:shd w:val="clear" w:color="auto" w:fill="F4F7FB"/>
          </w:tcPr>
          <w:p>
            <w:r/>
            <w:r>
              <w:rPr>
                <w:rFonts w:ascii="Calibri" w:hAnsi="Calibri"/>
                <w:sz w:val="20"/>
              </w:rPr>
              <w:t>+5.1%</w:t>
            </w:r>
          </w:p>
        </w:tc>
      </w:tr>
      <w:tr>
        <w:tc>
          <w:tcPr>
            <w:tcW w:type="dxa" w:w="2880"/>
          </w:tcPr>
          <w:p>
            <w:r/>
            <w:r>
              <w:rPr>
                <w:rFonts w:ascii="Calibri" w:hAnsi="Calibri"/>
                <w:sz w:val="20"/>
              </w:rPr>
              <w:t>Eye Care + Other</w:t>
            </w:r>
          </w:p>
        </w:tc>
        <w:tc>
          <w:tcPr>
            <w:tcW w:type="dxa" w:w="2160"/>
          </w:tcPr>
          <w:p>
            <w:r/>
            <w:r>
              <w:rPr>
                <w:rFonts w:ascii="Calibri" w:hAnsi="Calibri"/>
                <w:sz w:val="20"/>
              </w:rPr>
              <w:t>~$2.01B</w:t>
            </w:r>
          </w:p>
        </w:tc>
        <w:tc>
          <w:tcPr>
            <w:tcW w:type="dxa" w:w="2016"/>
          </w:tcPr>
          <w:p>
            <w:r/>
            <w:r>
              <w:rPr>
                <w:rFonts w:ascii="Calibri" w:hAnsi="Calibri"/>
                <w:sz w:val="20"/>
              </w:rPr>
              <w:t>+0.5%</w:t>
            </w:r>
          </w:p>
        </w:tc>
        <w:tc>
          <w:tcPr>
            <w:tcW w:type="dxa" w:w="2016"/>
          </w:tcPr>
          <w:p>
            <w:r/>
            <w:r>
              <w:rPr>
                <w:rFonts w:ascii="Calibri" w:hAnsi="Calibri"/>
                <w:sz w:val="20"/>
              </w:rPr>
              <w:t>(0.5%)</w:t>
            </w:r>
          </w:p>
        </w:tc>
      </w:tr>
      <w:tr>
        <w:tc>
          <w:tcPr>
            <w:tcW w:type="dxa" w:w="2880"/>
            <w:shd w:val="clear" w:color="auto" w:fill="F4F7FB"/>
          </w:tcPr>
          <w:p>
            <w:r/>
            <w:r>
              <w:rPr>
                <w:rFonts w:ascii="Calibri" w:hAnsi="Calibri"/>
                <w:sz w:val="20"/>
              </w:rPr>
              <w:t>Consolidated</w:t>
            </w:r>
          </w:p>
        </w:tc>
        <w:tc>
          <w:tcPr>
            <w:tcW w:type="dxa" w:w="2160"/>
            <w:shd w:val="clear" w:color="auto" w:fill="F4F7FB"/>
          </w:tcPr>
          <w:p>
            <w:r/>
            <w:r>
              <w:rPr>
                <w:rFonts w:ascii="Calibri" w:hAnsi="Calibri"/>
                <w:sz w:val="20"/>
              </w:rPr>
              <w:t>$15.00B</w:t>
            </w:r>
          </w:p>
        </w:tc>
        <w:tc>
          <w:tcPr>
            <w:tcW w:type="dxa" w:w="2016"/>
            <w:shd w:val="clear" w:color="auto" w:fill="F4F7FB"/>
          </w:tcPr>
          <w:p>
            <w:r/>
            <w:r>
              <w:rPr>
                <w:rFonts w:ascii="Calibri" w:hAnsi="Calibri"/>
                <w:sz w:val="20"/>
              </w:rPr>
              <w:t>+12.4%</w:t>
            </w:r>
          </w:p>
        </w:tc>
        <w:tc>
          <w:tcPr>
            <w:tcW w:type="dxa" w:w="2016"/>
            <w:shd w:val="clear" w:color="auto" w:fill="F4F7FB"/>
          </w:tcPr>
          <w:p>
            <w:r/>
            <w:r>
              <w:rPr>
                <w:rFonts w:ascii="Calibri" w:hAnsi="Calibri"/>
                <w:sz w:val="20"/>
              </w:rPr>
              <w:t>+10.3%</w:t>
            </w:r>
          </w:p>
        </w:tc>
      </w:tr>
    </w:tbl>
    <w:p>
      <w:pPr>
        <w:spacing w:after="80"/>
      </w:pPr>
      <w:r>
        <w:rPr>
          <w:rFonts w:ascii="Calibri" w:hAnsi="Calibri"/>
          <w:b w:val="0"/>
          <w:i/>
          <w:color w:val="555F6B"/>
          <w:sz w:val="18"/>
        </w:rPr>
        <w:t>Source: Company Q1 2026 press release (April 29, 2026). Eye Care + Other includes legacy products and is computed as a residual.</w:t>
      </w:r>
    </w:p>
    <w:p>
      <w:pPr>
        <w:spacing w:before="120" w:after="40"/>
      </w:pPr>
      <w:r>
        <w:rPr>
          <w:rFonts w:ascii="Calibri" w:hAnsi="Calibri"/>
          <w:b/>
          <w:color w:val="0B2C5C"/>
          <w:sz w:val="22"/>
        </w:rPr>
        <w:t>Immunology - Skyrizi/Rinvoq Drive the Franchise</w:t>
      </w:r>
    </w:p>
    <w:p>
      <w:pPr>
        <w:spacing w:after="80"/>
      </w:pPr>
      <w:r>
        <w:rPr>
          <w:rFonts w:ascii="Calibri" w:hAnsi="Calibri"/>
          <w:b w:val="0"/>
          <w:i w:val="0"/>
          <w:sz w:val="21"/>
        </w:rPr>
        <w:t>Immunology revenue of $7.29B grew 16.4% reported (14.3% operational) - effectively a clean print at the segment level despite the deep Humira erosion. Skyrizi delivered $4.48B in revenue (+30.9% reported, +29.2% operational), comfortably beating consensus near $4.30B. The drug now accounts for ~30% of total AbbVie revenue and is on a clear trajectory to exceed $20B in run-rate by the back half of 2026, which would make it the largest non-GLP-1 prescription drug in the world. Skyrizi is benefiting from psoriasis, psoriatic arthritis, Crohn's disease, and ulcerative colitis label expansions - and continues to take share from JNJ's Stelara (now in biosimilar erosion) and from older IL-17 inhibitors like Cosentyx and Taltz.</w:t>
      </w:r>
    </w:p>
    <w:p>
      <w:pPr>
        <w:spacing w:after="80"/>
      </w:pPr>
      <w:r>
        <w:rPr>
          <w:rFonts w:ascii="Calibri" w:hAnsi="Calibri"/>
          <w:b w:val="0"/>
          <w:i w:val="0"/>
          <w:sz w:val="21"/>
        </w:rPr>
        <w:t>Rinvoq revenue of $2.12B grew 23.3% reported (20.2% operational), supported by atopic dermatitis, rheumatoid arthritis, psoriatic arthritis, and inflammatory bowel disease indications. Critically, Rinvoq's pediatric expansion (juvenile idiopathic arthritis, JIA) and the giant cell arteritis (GCA) approval are opening incremental indications that should support growth into the late-2020s. We continue to model Rinvoq approaching $11-12B by 2028 - which combined with Skyrizi's $24-25B trajectory implies a $35B+ immunology franchise.</w:t>
      </w:r>
    </w:p>
    <w:p>
      <w:pPr>
        <w:spacing w:after="80"/>
      </w:pPr>
      <w:r>
        <w:rPr>
          <w:rFonts w:ascii="Calibri" w:hAnsi="Calibri"/>
          <w:b w:val="0"/>
          <w:i w:val="0"/>
          <w:sz w:val="21"/>
        </w:rPr>
        <w:t>Humira revenue of $688M declined 38.6% reported and 40.3% operational, broadly in line with our biosimilar erosion model. Humira is now approximately 4.6% of consolidated revenue (versus ~37% at peak in 2022) and is on track to settle at a $2.0-2.5B steady-state royalty/branded tail by 2027. The Humira chapter is, for practical purposes, closed - and the multiple ought to reflect a clean, post-LOE growth franchise.</w:t>
      </w:r>
    </w:p>
    <w:p>
      <w:r>
        <w:br w:type="page"/>
      </w:r>
    </w:p>
    <w:p>
      <w:pPr>
        <w:spacing w:before="120" w:after="40"/>
      </w:pPr>
      <w:r>
        <w:rPr>
          <w:rFonts w:ascii="Calibri" w:hAnsi="Calibri"/>
          <w:b/>
          <w:color w:val="0B2C5C"/>
          <w:sz w:val="22"/>
        </w:rPr>
        <w:t>Neuroscience - The Underappreciated Engine</w:t>
      </w:r>
    </w:p>
    <w:p>
      <w:pPr>
        <w:spacing w:after="80"/>
      </w:pPr>
      <w:r>
        <w:rPr>
          <w:rFonts w:ascii="Calibri" w:hAnsi="Calibri"/>
          <w:b w:val="0"/>
          <w:i w:val="0"/>
          <w:sz w:val="21"/>
        </w:rPr>
        <w:t>Neuroscience revenue of $2.88B grew 26.0% reported (24.3% operational), making it the fastest-growing therapeutic area in AbbVie's portfolio. Botox Therapeutic posted $1.01B (+16.5% rep / +14.9% op), with chronic migraine, cervical dystonia, and overactive bladder all contributing. Vraylar (cariprazine) revenue of $905M grew 18.4% on continued penetration into bipolar I depression, schizophrenia, and adjunctive major depressive disorder. The migraine portfolio (Qulipta CGRP oral and Ubrelvy acute) continues to ramp at high-double-digit growth rates and is an underappreciated source of incremental revenue.</w:t>
      </w:r>
    </w:p>
    <w:p>
      <w:pPr>
        <w:spacing w:after="80"/>
      </w:pPr>
      <w:r>
        <w:rPr>
          <w:rFonts w:ascii="Calibri" w:hAnsi="Calibri"/>
          <w:b w:val="0"/>
          <w:i w:val="0"/>
          <w:sz w:val="21"/>
        </w:rPr>
        <w:t>Notably, neuroscience is now ~$11.5B annualized and is the second-largest therapeutic area at AbbVie - and yet the Street still under-models the contribution. The Cerevel acquisition (closed 2024) added emraclidine (schizophrenia, late-stage), tavapadon (Parkinson's, Phase 3), and darigabat (epilepsy/anxiety, Phase 2) - and while emraclidine's Phase 2 data was a mixed read, the broader CNS pipeline gives AbbVie multiple shots on goal in a category where peers (Pfizer, BMS, Lundbeck) are largely retreating. We see neuroscience approaching $14B by 2027 and becoming the durable second leg of the post-Humira franchise.</w:t>
      </w:r>
    </w:p>
    <w:p>
      <w:pPr>
        <w:spacing w:before="120" w:after="40"/>
      </w:pPr>
      <w:r>
        <w:rPr>
          <w:rFonts w:ascii="Calibri" w:hAnsi="Calibri"/>
          <w:b/>
          <w:color w:val="0B2C5C"/>
          <w:sz w:val="22"/>
        </w:rPr>
        <w:t>Oncology - Imbruvica Drag Persists; Venclexta and Elahere Offset</w:t>
      </w:r>
    </w:p>
    <w:p>
      <w:pPr>
        <w:spacing w:after="80"/>
      </w:pPr>
      <w:r>
        <w:rPr>
          <w:rFonts w:ascii="Calibri" w:hAnsi="Calibri"/>
          <w:b w:val="0"/>
          <w:i w:val="0"/>
          <w:sz w:val="21"/>
        </w:rPr>
        <w:t>Oncology revenue of $1.63B was effectively flat reported (-0.2%) and down 3.0% operationally. Imbruvica (BTK inhibitor) revenue of $556M declined 24.7% as second-generation BTKs (Calquence from AstraZeneca, Brukinsa from BeiGene) and BCL-2 inhibitor regimens displace it in first-line CLL. The Imbruvica decline is a known, modeled headwind. Venclexta (BCL-2) at $770M (+15.7% rep / +9.7% op) continues to grow on AML and MDS expansion. Elahere (mirvetuximab, ovarian cancer) at $198M (+10.7% reported, +8.3% operational) is ramping post-acquisition from ImmunoGen and tracking to &gt;$1B in 2026. The portfolio shape is improving but oncology will remain a low-growth segment until the Epkinly (lymphoma) and pipeline ADCs become more meaningful contributors.</w:t>
      </w:r>
    </w:p>
    <w:p>
      <w:pPr>
        <w:spacing w:before="120" w:after="40"/>
      </w:pPr>
      <w:r>
        <w:rPr>
          <w:rFonts w:ascii="Calibri" w:hAnsi="Calibri"/>
          <w:b/>
          <w:color w:val="0B2C5C"/>
          <w:sz w:val="22"/>
        </w:rPr>
        <w:t>Aesthetics - Botox Cosmetic Reaccelerates</w:t>
      </w:r>
    </w:p>
    <w:p>
      <w:pPr>
        <w:spacing w:after="80"/>
      </w:pPr>
      <w:r>
        <w:rPr>
          <w:rFonts w:ascii="Calibri" w:hAnsi="Calibri"/>
          <w:b w:val="0"/>
          <w:i w:val="0"/>
          <w:sz w:val="21"/>
        </w:rPr>
        <w:t>Aesthetics revenue of $1.19B grew 7.6% reported (5.1% operational), a meaningful improvement from the 2024-2025 trough. Botox Cosmetic delivered $668M (+20.2% reported, +17.0% operational) - the first quarter of clear reacceleration after the post-COVID consumer aesthetics softness. Juvederm at $232M was roughly flat (+0.4% reported, -2.9% operational), reflecting continued discretionary pressure and competitive intensity in dermal fillers. The aesthetics market remains a long-cycle growth opportunity tied to consumer health and disposable income; the Q1 print is a constructive but not yet definitive signal of recovery.</w:t>
      </w:r>
    </w:p>
    <w:p>
      <w:pPr>
        <w:spacing w:before="120" w:after="40"/>
      </w:pPr>
      <w:r>
        <w:rPr>
          <w:rFonts w:ascii="Calibri" w:hAnsi="Calibri"/>
          <w:b/>
          <w:color w:val="0B2C5C"/>
          <w:sz w:val="22"/>
        </w:rPr>
        <w:t>Geographic Mix</w:t>
      </w:r>
    </w:p>
    <w:tbl>
      <w:tblPr>
        <w:tblStyle w:val="LightGrid-Accent1"/>
        <w:tblW w:type="auto" w:w="0"/>
        <w:tblLayout w:type="fixed"/>
        <w:tblLook w:firstColumn="1" w:firstRow="1" w:lastColumn="0" w:lastRow="0" w:noHBand="0" w:noVBand="1" w:val="04A0"/>
      </w:tblPr>
      <w:tblGrid>
        <w:gridCol w:w="2484"/>
        <w:gridCol w:w="2484"/>
        <w:gridCol w:w="2484"/>
        <w:gridCol w:w="2484"/>
      </w:tblGrid>
      <w:tr>
        <w:tc>
          <w:tcPr>
            <w:tcW w:type="dxa" w:w="3168"/>
            <w:shd w:val="clear" w:color="auto" w:fill="0B2C5C"/>
          </w:tcPr>
          <w:p>
            <w:r/>
            <w:r>
              <w:rPr>
                <w:rFonts w:ascii="Calibri" w:hAnsi="Calibri"/>
                <w:b/>
                <w:color w:val="FFFFFF"/>
                <w:sz w:val="20"/>
              </w:rPr>
              <w:t>Geography</w:t>
            </w:r>
          </w:p>
        </w:tc>
        <w:tc>
          <w:tcPr>
            <w:tcW w:type="dxa" w:w="2448"/>
            <w:shd w:val="clear" w:color="auto" w:fill="0B2C5C"/>
          </w:tcPr>
          <w:p>
            <w:r/>
            <w:r>
              <w:rPr>
                <w:rFonts w:ascii="Calibri" w:hAnsi="Calibri"/>
                <w:b/>
                <w:color w:val="FFFFFF"/>
                <w:sz w:val="20"/>
              </w:rPr>
              <w:t>Q1'26 Revenue (est.)</w:t>
            </w:r>
          </w:p>
        </w:tc>
        <w:tc>
          <w:tcPr>
            <w:tcW w:type="dxa" w:w="2016"/>
            <w:shd w:val="clear" w:color="auto" w:fill="0B2C5C"/>
          </w:tcPr>
          <w:p>
            <w:r/>
            <w:r>
              <w:rPr>
                <w:rFonts w:ascii="Calibri" w:hAnsi="Calibri"/>
                <w:b/>
                <w:color w:val="FFFFFF"/>
                <w:sz w:val="20"/>
              </w:rPr>
              <w:t>Reported %</w:t>
            </w:r>
          </w:p>
        </w:tc>
        <w:tc>
          <w:tcPr>
            <w:tcW w:type="dxa" w:w="2016"/>
            <w:shd w:val="clear" w:color="auto" w:fill="0B2C5C"/>
          </w:tcPr>
          <w:p>
            <w:r/>
            <w:r>
              <w:rPr>
                <w:rFonts w:ascii="Calibri" w:hAnsi="Calibri"/>
                <w:b/>
                <w:color w:val="FFFFFF"/>
                <w:sz w:val="20"/>
              </w:rPr>
              <w:t>Operational %</w:t>
            </w:r>
          </w:p>
        </w:tc>
      </w:tr>
      <w:tr>
        <w:tc>
          <w:tcPr>
            <w:tcW w:type="dxa" w:w="3168"/>
          </w:tcPr>
          <w:p>
            <w:r/>
            <w:r>
              <w:rPr>
                <w:rFonts w:ascii="Calibri" w:hAnsi="Calibri"/>
                <w:sz w:val="20"/>
              </w:rPr>
              <w:t>U.S.</w:t>
            </w:r>
          </w:p>
        </w:tc>
        <w:tc>
          <w:tcPr>
            <w:tcW w:type="dxa" w:w="2448"/>
          </w:tcPr>
          <w:p>
            <w:r/>
            <w:r>
              <w:rPr>
                <w:rFonts w:ascii="Calibri" w:hAnsi="Calibri"/>
                <w:sz w:val="20"/>
              </w:rPr>
              <w:t>~$11.4B</w:t>
            </w:r>
          </w:p>
        </w:tc>
        <w:tc>
          <w:tcPr>
            <w:tcW w:type="dxa" w:w="2016"/>
          </w:tcPr>
          <w:p>
            <w:r/>
            <w:r>
              <w:rPr>
                <w:rFonts w:ascii="Calibri" w:hAnsi="Calibri"/>
                <w:sz w:val="20"/>
              </w:rPr>
              <w:t>+13.5%</w:t>
            </w:r>
          </w:p>
        </w:tc>
        <w:tc>
          <w:tcPr>
            <w:tcW w:type="dxa" w:w="2016"/>
          </w:tcPr>
          <w:p>
            <w:r/>
            <w:r>
              <w:rPr>
                <w:rFonts w:ascii="Calibri" w:hAnsi="Calibri"/>
                <w:sz w:val="20"/>
              </w:rPr>
              <w:t>+13.5%</w:t>
            </w:r>
          </w:p>
        </w:tc>
      </w:tr>
      <w:tr>
        <w:tc>
          <w:tcPr>
            <w:tcW w:type="dxa" w:w="3168"/>
            <w:shd w:val="clear" w:color="auto" w:fill="F4F7FB"/>
          </w:tcPr>
          <w:p>
            <w:r/>
            <w:r>
              <w:rPr>
                <w:rFonts w:ascii="Calibri" w:hAnsi="Calibri"/>
                <w:sz w:val="20"/>
              </w:rPr>
              <w:t>International</w:t>
            </w:r>
          </w:p>
        </w:tc>
        <w:tc>
          <w:tcPr>
            <w:tcW w:type="dxa" w:w="2448"/>
            <w:shd w:val="clear" w:color="auto" w:fill="F4F7FB"/>
          </w:tcPr>
          <w:p>
            <w:r/>
            <w:r>
              <w:rPr>
                <w:rFonts w:ascii="Calibri" w:hAnsi="Calibri"/>
                <w:sz w:val="20"/>
              </w:rPr>
              <w:t>~$3.6B</w:t>
            </w:r>
          </w:p>
        </w:tc>
        <w:tc>
          <w:tcPr>
            <w:tcW w:type="dxa" w:w="2016"/>
            <w:shd w:val="clear" w:color="auto" w:fill="F4F7FB"/>
          </w:tcPr>
          <w:p>
            <w:r/>
            <w:r>
              <w:rPr>
                <w:rFonts w:ascii="Calibri" w:hAnsi="Calibri"/>
                <w:sz w:val="20"/>
              </w:rPr>
              <w:t>+8.5%</w:t>
            </w:r>
          </w:p>
        </w:tc>
        <w:tc>
          <w:tcPr>
            <w:tcW w:type="dxa" w:w="2016"/>
            <w:shd w:val="clear" w:color="auto" w:fill="F4F7FB"/>
          </w:tcPr>
          <w:p>
            <w:r/>
            <w:r>
              <w:rPr>
                <w:rFonts w:ascii="Calibri" w:hAnsi="Calibri"/>
                <w:sz w:val="20"/>
              </w:rPr>
              <w:t>+1.0%</w:t>
            </w:r>
          </w:p>
        </w:tc>
      </w:tr>
      <w:tr>
        <w:tc>
          <w:tcPr>
            <w:tcW w:type="dxa" w:w="3168"/>
          </w:tcPr>
          <w:p>
            <w:r/>
            <w:r>
              <w:rPr>
                <w:rFonts w:ascii="Calibri" w:hAnsi="Calibri"/>
                <w:sz w:val="20"/>
              </w:rPr>
              <w:t xml:space="preserve">    Europe</w:t>
            </w:r>
          </w:p>
        </w:tc>
        <w:tc>
          <w:tcPr>
            <w:tcW w:type="dxa" w:w="2448"/>
          </w:tcPr>
          <w:p>
            <w:r/>
            <w:r>
              <w:rPr>
                <w:rFonts w:ascii="Calibri" w:hAnsi="Calibri"/>
                <w:sz w:val="20"/>
              </w:rPr>
              <w:t>~$1.9B</w:t>
            </w:r>
          </w:p>
        </w:tc>
        <w:tc>
          <w:tcPr>
            <w:tcW w:type="dxa" w:w="2016"/>
          </w:tcPr>
          <w:p>
            <w:r/>
            <w:r>
              <w:rPr>
                <w:rFonts w:ascii="Calibri" w:hAnsi="Calibri"/>
                <w:sz w:val="20"/>
              </w:rPr>
              <w:t>+10.0%</w:t>
            </w:r>
          </w:p>
        </w:tc>
        <w:tc>
          <w:tcPr>
            <w:tcW w:type="dxa" w:w="2016"/>
          </w:tcPr>
          <w:p>
            <w:r/>
            <w:r>
              <w:rPr>
                <w:rFonts w:ascii="Calibri" w:hAnsi="Calibri"/>
                <w:sz w:val="20"/>
              </w:rPr>
              <w:t>+2.0%</w:t>
            </w:r>
          </w:p>
        </w:tc>
      </w:tr>
      <w:tr>
        <w:tc>
          <w:tcPr>
            <w:tcW w:type="dxa" w:w="3168"/>
            <w:shd w:val="clear" w:color="auto" w:fill="F4F7FB"/>
          </w:tcPr>
          <w:p>
            <w:r/>
            <w:r>
              <w:rPr>
                <w:rFonts w:ascii="Calibri" w:hAnsi="Calibri"/>
                <w:sz w:val="20"/>
              </w:rPr>
              <w:t xml:space="preserve">    Asia Pacific</w:t>
            </w:r>
          </w:p>
        </w:tc>
        <w:tc>
          <w:tcPr>
            <w:tcW w:type="dxa" w:w="2448"/>
            <w:shd w:val="clear" w:color="auto" w:fill="F4F7FB"/>
          </w:tcPr>
          <w:p>
            <w:r/>
            <w:r>
              <w:rPr>
                <w:rFonts w:ascii="Calibri" w:hAnsi="Calibri"/>
                <w:sz w:val="20"/>
              </w:rPr>
              <w:t>~$1.0B</w:t>
            </w:r>
          </w:p>
        </w:tc>
        <w:tc>
          <w:tcPr>
            <w:tcW w:type="dxa" w:w="2016"/>
            <w:shd w:val="clear" w:color="auto" w:fill="F4F7FB"/>
          </w:tcPr>
          <w:p>
            <w:r/>
            <w:r>
              <w:rPr>
                <w:rFonts w:ascii="Calibri" w:hAnsi="Calibri"/>
                <w:sz w:val="20"/>
              </w:rPr>
              <w:t>+7.5%</w:t>
            </w:r>
          </w:p>
        </w:tc>
        <w:tc>
          <w:tcPr>
            <w:tcW w:type="dxa" w:w="2016"/>
            <w:shd w:val="clear" w:color="auto" w:fill="F4F7FB"/>
          </w:tcPr>
          <w:p>
            <w:r/>
            <w:r>
              <w:rPr>
                <w:rFonts w:ascii="Calibri" w:hAnsi="Calibri"/>
                <w:sz w:val="20"/>
              </w:rPr>
              <w:t>0.0%</w:t>
            </w:r>
          </w:p>
        </w:tc>
      </w:tr>
      <w:tr>
        <w:tc>
          <w:tcPr>
            <w:tcW w:type="dxa" w:w="3168"/>
          </w:tcPr>
          <w:p>
            <w:r/>
            <w:r>
              <w:rPr>
                <w:rFonts w:ascii="Calibri" w:hAnsi="Calibri"/>
                <w:sz w:val="20"/>
              </w:rPr>
              <w:t xml:space="preserve">    Latin America / Other</w:t>
            </w:r>
          </w:p>
        </w:tc>
        <w:tc>
          <w:tcPr>
            <w:tcW w:type="dxa" w:w="2448"/>
          </w:tcPr>
          <w:p>
            <w:r/>
            <w:r>
              <w:rPr>
                <w:rFonts w:ascii="Calibri" w:hAnsi="Calibri"/>
                <w:sz w:val="20"/>
              </w:rPr>
              <w:t>~$0.7B</w:t>
            </w:r>
          </w:p>
        </w:tc>
        <w:tc>
          <w:tcPr>
            <w:tcW w:type="dxa" w:w="2016"/>
          </w:tcPr>
          <w:p>
            <w:r/>
            <w:r>
              <w:rPr>
                <w:rFonts w:ascii="Calibri" w:hAnsi="Calibri"/>
                <w:sz w:val="20"/>
              </w:rPr>
              <w:t>+6.0%</w:t>
            </w:r>
          </w:p>
        </w:tc>
        <w:tc>
          <w:tcPr>
            <w:tcW w:type="dxa" w:w="2016"/>
          </w:tcPr>
          <w:p>
            <w:r/>
            <w:r>
              <w:rPr>
                <w:rFonts w:ascii="Calibri" w:hAnsi="Calibri"/>
                <w:sz w:val="20"/>
              </w:rPr>
              <w:t>(1.0%)</w:t>
            </w:r>
          </w:p>
        </w:tc>
      </w:tr>
      <w:tr>
        <w:tc>
          <w:tcPr>
            <w:tcW w:type="dxa" w:w="3168"/>
            <w:shd w:val="clear" w:color="auto" w:fill="F4F7FB"/>
          </w:tcPr>
          <w:p>
            <w:r/>
            <w:r>
              <w:rPr>
                <w:rFonts w:ascii="Calibri" w:hAnsi="Calibri"/>
                <w:sz w:val="20"/>
              </w:rPr>
              <w:t>Worldwide</w:t>
            </w:r>
          </w:p>
        </w:tc>
        <w:tc>
          <w:tcPr>
            <w:tcW w:type="dxa" w:w="2448"/>
            <w:shd w:val="clear" w:color="auto" w:fill="F4F7FB"/>
          </w:tcPr>
          <w:p>
            <w:r/>
            <w:r>
              <w:rPr>
                <w:rFonts w:ascii="Calibri" w:hAnsi="Calibri"/>
                <w:sz w:val="20"/>
              </w:rPr>
              <w:t>$15.00B</w:t>
            </w:r>
          </w:p>
        </w:tc>
        <w:tc>
          <w:tcPr>
            <w:tcW w:type="dxa" w:w="2016"/>
            <w:shd w:val="clear" w:color="auto" w:fill="F4F7FB"/>
          </w:tcPr>
          <w:p>
            <w:r/>
            <w:r>
              <w:rPr>
                <w:rFonts w:ascii="Calibri" w:hAnsi="Calibri"/>
                <w:sz w:val="20"/>
              </w:rPr>
              <w:t>+12.4%</w:t>
            </w:r>
          </w:p>
        </w:tc>
        <w:tc>
          <w:tcPr>
            <w:tcW w:type="dxa" w:w="2016"/>
            <w:shd w:val="clear" w:color="auto" w:fill="F4F7FB"/>
          </w:tcPr>
          <w:p>
            <w:r/>
            <w:r>
              <w:rPr>
                <w:rFonts w:ascii="Calibri" w:hAnsi="Calibri"/>
                <w:sz w:val="20"/>
              </w:rPr>
              <w:t>+10.3%</w:t>
            </w:r>
          </w:p>
        </w:tc>
      </w:tr>
    </w:tbl>
    <w:p>
      <w:pPr>
        <w:spacing w:after="80"/>
      </w:pPr>
      <w:r>
        <w:rPr>
          <w:rFonts w:ascii="Calibri" w:hAnsi="Calibri"/>
          <w:b w:val="0"/>
          <w:i/>
          <w:color w:val="555F6B"/>
          <w:sz w:val="18"/>
        </w:rPr>
        <w:t>Source: Finance Index Research estimates; AbbVie does not formally disclose geographic detail by therapeutic area each quarter.</w:t>
      </w:r>
    </w:p>
    <w:p>
      <w:pPr>
        <w:spacing w:before="200" w:after="80"/>
      </w:pPr>
      <w:r>
        <w:rPr>
          <w:rFonts w:ascii="Calibri" w:hAnsi="Calibri"/>
          <w:b/>
          <w:color w:val="0B2C5C"/>
          <w:sz w:val="28"/>
        </w:rPr>
        <w:t>Cash Flow &amp; Capital Allocation</w:t>
      </w:r>
    </w:p>
    <w:p>
      <w:pPr>
        <w:spacing w:after="80"/>
      </w:pPr>
      <w:r>
        <w:rPr>
          <w:rFonts w:ascii="Calibri" w:hAnsi="Calibri"/>
          <w:b w:val="0"/>
          <w:i w:val="0"/>
          <w:sz w:val="21"/>
        </w:rPr>
        <w:t>AbbVie generated approximately $4.4B of operating cash flow in Q1 2026 (versus ~$4.0B in Q1 2025), with free cash flow estimated at ~$3.7B after capex. Net debt remains elevated at ~$59B (including ~$20B from the 2024 Cerevel acquisition and ~$10B from ImmunoGen), but the leverage trajectory continues to improve as Skyrizi/Rinvoq cash generation accelerates. Net debt/EBITDA is now ~2.3x and we expect it to approach 1.8x by year-end 2026. The Board declared a $1.73/quarter dividend ($6.92 annualized, ~3.5% yield), the 54th consecutive year of dividend payments combined between AbbVie and predecessor Abbott Laboratories. Capital allocation in 2026 will continue to prioritize (i) deleveraging, (ii) the dividend, and (iii) bolt-on M&amp;A in immunology and neuroscience - notably the $744M IPR&amp;D charge in the quarter signals continued external pipeline investment.</w:t>
      </w:r>
    </w:p>
    <w:p>
      <w:r>
        <w:br w:type="page"/>
      </w:r>
    </w:p>
    <w:p>
      <w:pPr>
        <w:spacing w:before="280" w:after="160"/>
      </w:pPr>
      <w:r>
        <w:rPr>
          <w:rFonts w:ascii="Calibri" w:hAnsi="Calibri"/>
          <w:b/>
          <w:color w:val="0B2C5C"/>
          <w:sz w:val="36"/>
        </w:rPr>
        <w:t>Guidance &amp; Estimate Revisions</w:t>
      </w:r>
    </w:p>
    <w:tbl>
      <w:tblPr>
        <w:tblStyle w:val="LightGrid-Accent1"/>
        <w:tblW w:type="auto" w:w="0"/>
        <w:tblLayout w:type="fixed"/>
        <w:tblLook w:firstColumn="1" w:firstRow="1" w:lastColumn="0" w:lastRow="0" w:noHBand="0" w:noVBand="1" w:val="04A0"/>
      </w:tblPr>
      <w:tblGrid>
        <w:gridCol w:w="2484"/>
        <w:gridCol w:w="2484"/>
        <w:gridCol w:w="2484"/>
        <w:gridCol w:w="2484"/>
      </w:tblGrid>
      <w:tr>
        <w:tc>
          <w:tcPr>
            <w:tcW w:type="dxa" w:w="2304"/>
            <w:shd w:val="clear" w:color="auto" w:fill="0B2C5C"/>
          </w:tcPr>
          <w:p>
            <w:r/>
            <w:r>
              <w:rPr>
                <w:rFonts w:ascii="Calibri" w:hAnsi="Calibri"/>
                <w:b/>
                <w:color w:val="FFFFFF"/>
                <w:sz w:val="20"/>
              </w:rPr>
              <w:t>Metric</w:t>
            </w:r>
          </w:p>
        </w:tc>
        <w:tc>
          <w:tcPr>
            <w:tcW w:type="dxa" w:w="2592"/>
            <w:shd w:val="clear" w:color="auto" w:fill="0B2C5C"/>
          </w:tcPr>
          <w:p>
            <w:r/>
            <w:r>
              <w:rPr>
                <w:rFonts w:ascii="Calibri" w:hAnsi="Calibri"/>
                <w:b/>
                <w:color w:val="FFFFFF"/>
                <w:sz w:val="20"/>
              </w:rPr>
              <w:t>Prior 2026 Guidance</w:t>
            </w:r>
          </w:p>
        </w:tc>
        <w:tc>
          <w:tcPr>
            <w:tcW w:type="dxa" w:w="3024"/>
            <w:shd w:val="clear" w:color="auto" w:fill="0B2C5C"/>
          </w:tcPr>
          <w:p>
            <w:r/>
            <w:r>
              <w:rPr>
                <w:rFonts w:ascii="Calibri" w:hAnsi="Calibri"/>
                <w:b/>
                <w:color w:val="FFFFFF"/>
                <w:sz w:val="20"/>
              </w:rPr>
              <w:t>Updated 2026 Guidance</w:t>
            </w:r>
          </w:p>
        </w:tc>
        <w:tc>
          <w:tcPr>
            <w:tcW w:type="dxa" w:w="2016"/>
            <w:shd w:val="clear" w:color="auto" w:fill="0B2C5C"/>
          </w:tcPr>
          <w:p>
            <w:r/>
            <w:r>
              <w:rPr>
                <w:rFonts w:ascii="Calibri" w:hAnsi="Calibri"/>
                <w:b/>
                <w:color w:val="FFFFFF"/>
                <w:sz w:val="20"/>
              </w:rPr>
              <w:t>Change</w:t>
            </w:r>
          </w:p>
        </w:tc>
      </w:tr>
      <w:tr>
        <w:tc>
          <w:tcPr>
            <w:tcW w:type="dxa" w:w="2304"/>
          </w:tcPr>
          <w:p>
            <w:r/>
            <w:r>
              <w:rPr>
                <w:rFonts w:ascii="Calibri" w:hAnsi="Calibri"/>
                <w:sz w:val="20"/>
              </w:rPr>
              <w:t>Reported Revenue</w:t>
            </w:r>
          </w:p>
        </w:tc>
        <w:tc>
          <w:tcPr>
            <w:tcW w:type="dxa" w:w="2592"/>
          </w:tcPr>
          <w:p>
            <w:r/>
            <w:r>
              <w:rPr>
                <w:rFonts w:ascii="Calibri" w:hAnsi="Calibri"/>
                <w:sz w:val="20"/>
              </w:rPr>
              <w:t>~$67.0B</w:t>
            </w:r>
          </w:p>
        </w:tc>
        <w:tc>
          <w:tcPr>
            <w:tcW w:type="dxa" w:w="3024"/>
          </w:tcPr>
          <w:p>
            <w:r/>
            <w:r>
              <w:rPr>
                <w:rFonts w:ascii="Calibri" w:hAnsi="Calibri"/>
                <w:sz w:val="20"/>
              </w:rPr>
              <w:t>~$67.3B</w:t>
            </w:r>
          </w:p>
        </w:tc>
        <w:tc>
          <w:tcPr>
            <w:tcW w:type="dxa" w:w="2016"/>
          </w:tcPr>
          <w:p>
            <w:r/>
            <w:r>
              <w:rPr>
                <w:rFonts w:ascii="Calibri" w:hAnsi="Calibri"/>
                <w:sz w:val="20"/>
              </w:rPr>
              <w:t>+$300M</w:t>
            </w:r>
          </w:p>
        </w:tc>
      </w:tr>
      <w:tr>
        <w:tc>
          <w:tcPr>
            <w:tcW w:type="dxa" w:w="2304"/>
            <w:shd w:val="clear" w:color="auto" w:fill="F4F7FB"/>
          </w:tcPr>
          <w:p>
            <w:r/>
            <w:r>
              <w:rPr>
                <w:rFonts w:ascii="Calibri" w:hAnsi="Calibri"/>
                <w:sz w:val="20"/>
              </w:rPr>
              <w:t>Adjusted EPS</w:t>
            </w:r>
          </w:p>
        </w:tc>
        <w:tc>
          <w:tcPr>
            <w:tcW w:type="dxa" w:w="2592"/>
            <w:shd w:val="clear" w:color="auto" w:fill="F4F7FB"/>
          </w:tcPr>
          <w:p>
            <w:r/>
            <w:r>
              <w:rPr>
                <w:rFonts w:ascii="Calibri" w:hAnsi="Calibri"/>
                <w:sz w:val="20"/>
              </w:rPr>
              <w:t>$13.96 - $14.16</w:t>
            </w:r>
          </w:p>
        </w:tc>
        <w:tc>
          <w:tcPr>
            <w:tcW w:type="dxa" w:w="3024"/>
            <w:shd w:val="clear" w:color="auto" w:fill="F4F7FB"/>
          </w:tcPr>
          <w:p>
            <w:r/>
            <w:r>
              <w:rPr>
                <w:rFonts w:ascii="Calibri" w:hAnsi="Calibri"/>
                <w:sz w:val="20"/>
              </w:rPr>
              <w:t>$14.08 - $14.28</w:t>
            </w:r>
          </w:p>
        </w:tc>
        <w:tc>
          <w:tcPr>
            <w:tcW w:type="dxa" w:w="2016"/>
            <w:shd w:val="clear" w:color="auto" w:fill="F4F7FB"/>
          </w:tcPr>
          <w:p>
            <w:r/>
            <w:r>
              <w:rPr>
                <w:rFonts w:ascii="Calibri" w:hAnsi="Calibri"/>
                <w:sz w:val="20"/>
              </w:rPr>
              <w:t>+$0.12 / +0.8%</w:t>
            </w:r>
          </w:p>
        </w:tc>
      </w:tr>
      <w:tr>
        <w:tc>
          <w:tcPr>
            <w:tcW w:type="dxa" w:w="2304"/>
          </w:tcPr>
          <w:p>
            <w:r/>
            <w:r>
              <w:rPr>
                <w:rFonts w:ascii="Calibri" w:hAnsi="Calibri"/>
                <w:sz w:val="20"/>
              </w:rPr>
              <w:t>Adj. Op. Sales Growth</w:t>
            </w:r>
          </w:p>
        </w:tc>
        <w:tc>
          <w:tcPr>
            <w:tcW w:type="dxa" w:w="2592"/>
          </w:tcPr>
          <w:p>
            <w:r/>
            <w:r>
              <w:rPr>
                <w:rFonts w:ascii="Calibri" w:hAnsi="Calibri"/>
                <w:sz w:val="20"/>
              </w:rPr>
              <w:t>+5.5% to +6.5%</w:t>
            </w:r>
          </w:p>
        </w:tc>
        <w:tc>
          <w:tcPr>
            <w:tcW w:type="dxa" w:w="3024"/>
          </w:tcPr>
          <w:p>
            <w:r/>
            <w:r>
              <w:rPr>
                <w:rFonts w:ascii="Calibri" w:hAnsi="Calibri"/>
                <w:sz w:val="20"/>
              </w:rPr>
              <w:t>+6.0% to +7.0%</w:t>
            </w:r>
          </w:p>
        </w:tc>
        <w:tc>
          <w:tcPr>
            <w:tcW w:type="dxa" w:w="2016"/>
          </w:tcPr>
          <w:p>
            <w:r/>
            <w:r>
              <w:rPr>
                <w:rFonts w:ascii="Calibri" w:hAnsi="Calibri"/>
                <w:sz w:val="20"/>
              </w:rPr>
              <w:t>+50bps midpoint</w:t>
            </w:r>
          </w:p>
        </w:tc>
      </w:tr>
      <w:tr>
        <w:tc>
          <w:tcPr>
            <w:tcW w:type="dxa" w:w="2304"/>
            <w:shd w:val="clear" w:color="auto" w:fill="F4F7FB"/>
          </w:tcPr>
          <w:p>
            <w:r/>
            <w:r>
              <w:rPr>
                <w:rFonts w:ascii="Calibri" w:hAnsi="Calibri"/>
                <w:sz w:val="20"/>
              </w:rPr>
              <w:t>Adj. Operating Margin</w:t>
            </w:r>
          </w:p>
        </w:tc>
        <w:tc>
          <w:tcPr>
            <w:tcW w:type="dxa" w:w="2592"/>
            <w:shd w:val="clear" w:color="auto" w:fill="F4F7FB"/>
          </w:tcPr>
          <w:p>
            <w:r/>
            <w:r>
              <w:rPr>
                <w:rFonts w:ascii="Calibri" w:hAnsi="Calibri"/>
                <w:sz w:val="20"/>
              </w:rPr>
              <w:t>~42-43%</w:t>
            </w:r>
          </w:p>
        </w:tc>
        <w:tc>
          <w:tcPr>
            <w:tcW w:type="dxa" w:w="3024"/>
            <w:shd w:val="clear" w:color="auto" w:fill="F4F7FB"/>
          </w:tcPr>
          <w:p>
            <w:r/>
            <w:r>
              <w:rPr>
                <w:rFonts w:ascii="Calibri" w:hAnsi="Calibri"/>
                <w:sz w:val="20"/>
              </w:rPr>
              <w:t>Maintained ~42-43%</w:t>
            </w:r>
          </w:p>
        </w:tc>
        <w:tc>
          <w:tcPr>
            <w:tcW w:type="dxa" w:w="2016"/>
            <w:shd w:val="clear" w:color="auto" w:fill="F4F7FB"/>
          </w:tcPr>
          <w:p>
            <w:r/>
            <w:r>
              <w:rPr>
                <w:rFonts w:ascii="Calibri" w:hAnsi="Calibri"/>
                <w:sz w:val="20"/>
              </w:rPr>
              <w:t>Unchanged</w:t>
            </w:r>
          </w:p>
        </w:tc>
      </w:tr>
      <w:tr>
        <w:tc>
          <w:tcPr>
            <w:tcW w:type="dxa" w:w="2304"/>
          </w:tcPr>
          <w:p>
            <w:r/>
            <w:r>
              <w:rPr>
                <w:rFonts w:ascii="Calibri" w:hAnsi="Calibri"/>
                <w:sz w:val="20"/>
              </w:rPr>
              <w:t>Adj. Gross Margin</w:t>
            </w:r>
          </w:p>
        </w:tc>
        <w:tc>
          <w:tcPr>
            <w:tcW w:type="dxa" w:w="2592"/>
          </w:tcPr>
          <w:p>
            <w:r/>
            <w:r>
              <w:rPr>
                <w:rFonts w:ascii="Calibri" w:hAnsi="Calibri"/>
                <w:sz w:val="20"/>
              </w:rPr>
              <w:t>~84%</w:t>
            </w:r>
          </w:p>
        </w:tc>
        <w:tc>
          <w:tcPr>
            <w:tcW w:type="dxa" w:w="3024"/>
          </w:tcPr>
          <w:p>
            <w:r/>
            <w:r>
              <w:rPr>
                <w:rFonts w:ascii="Calibri" w:hAnsi="Calibri"/>
                <w:sz w:val="20"/>
              </w:rPr>
              <w:t>Maintained ~84%</w:t>
            </w:r>
          </w:p>
        </w:tc>
        <w:tc>
          <w:tcPr>
            <w:tcW w:type="dxa" w:w="2016"/>
          </w:tcPr>
          <w:p>
            <w:r/>
            <w:r>
              <w:rPr>
                <w:rFonts w:ascii="Calibri" w:hAnsi="Calibri"/>
                <w:sz w:val="20"/>
              </w:rPr>
              <w:t>Unchanged</w:t>
            </w:r>
          </w:p>
        </w:tc>
      </w:tr>
      <w:tr>
        <w:tc>
          <w:tcPr>
            <w:tcW w:type="dxa" w:w="2304"/>
            <w:shd w:val="clear" w:color="auto" w:fill="F4F7FB"/>
          </w:tcPr>
          <w:p>
            <w:r/>
            <w:r>
              <w:rPr>
                <w:rFonts w:ascii="Calibri" w:hAnsi="Calibri"/>
                <w:sz w:val="20"/>
              </w:rPr>
              <w:t>IPR&amp;D Headwind</w:t>
            </w:r>
          </w:p>
        </w:tc>
        <w:tc>
          <w:tcPr>
            <w:tcW w:type="dxa" w:w="2592"/>
            <w:shd w:val="clear" w:color="auto" w:fill="F4F7FB"/>
          </w:tcPr>
          <w:p>
            <w:r/>
            <w:r>
              <w:rPr>
                <w:rFonts w:ascii="Calibri" w:hAnsi="Calibri"/>
                <w:sz w:val="20"/>
              </w:rPr>
              <w:t>n/d</w:t>
            </w:r>
          </w:p>
        </w:tc>
        <w:tc>
          <w:tcPr>
            <w:tcW w:type="dxa" w:w="3024"/>
            <w:shd w:val="clear" w:color="auto" w:fill="F4F7FB"/>
          </w:tcPr>
          <w:p>
            <w:r/>
            <w:r>
              <w:rPr>
                <w:rFonts w:ascii="Calibri" w:hAnsi="Calibri"/>
                <w:sz w:val="20"/>
              </w:rPr>
              <w:t>$0.41/sh YTD absorbed</w:t>
            </w:r>
          </w:p>
        </w:tc>
        <w:tc>
          <w:tcPr>
            <w:tcW w:type="dxa" w:w="2016"/>
            <w:shd w:val="clear" w:color="auto" w:fill="F4F7FB"/>
          </w:tcPr>
          <w:p>
            <w:r/>
            <w:r>
              <w:rPr>
                <w:rFonts w:ascii="Calibri" w:hAnsi="Calibri"/>
                <w:sz w:val="20"/>
              </w:rPr>
              <w:t>Quantified</w:t>
            </w:r>
          </w:p>
        </w:tc>
      </w:tr>
      <w:tr>
        <w:tc>
          <w:tcPr>
            <w:tcW w:type="dxa" w:w="2304"/>
          </w:tcPr>
          <w:p>
            <w:r/>
            <w:r>
              <w:rPr>
                <w:rFonts w:ascii="Calibri" w:hAnsi="Calibri"/>
                <w:sz w:val="20"/>
              </w:rPr>
              <w:t>Dividend per share (annl.)</w:t>
            </w:r>
          </w:p>
        </w:tc>
        <w:tc>
          <w:tcPr>
            <w:tcW w:type="dxa" w:w="2592"/>
          </w:tcPr>
          <w:p>
            <w:r/>
            <w:r>
              <w:rPr>
                <w:rFonts w:ascii="Calibri" w:hAnsi="Calibri"/>
                <w:sz w:val="20"/>
              </w:rPr>
              <w:t>$6.92</w:t>
            </w:r>
          </w:p>
        </w:tc>
        <w:tc>
          <w:tcPr>
            <w:tcW w:type="dxa" w:w="3024"/>
          </w:tcPr>
          <w:p>
            <w:r/>
            <w:r>
              <w:rPr>
                <w:rFonts w:ascii="Calibri" w:hAnsi="Calibri"/>
                <w:sz w:val="20"/>
              </w:rPr>
              <w:t>$6.92</w:t>
            </w:r>
          </w:p>
        </w:tc>
        <w:tc>
          <w:tcPr>
            <w:tcW w:type="dxa" w:w="2016"/>
          </w:tcPr>
          <w:p>
            <w:r/>
            <w:r>
              <w:rPr>
                <w:rFonts w:ascii="Calibri" w:hAnsi="Calibri"/>
                <w:sz w:val="20"/>
              </w:rPr>
              <w:t>Maintained</w:t>
            </w:r>
          </w:p>
        </w:tc>
      </w:tr>
    </w:tbl>
    <w:p>
      <w:pPr>
        <w:spacing w:after="80"/>
      </w:pPr>
      <w:r>
        <w:rPr>
          <w:rFonts w:ascii="Calibri" w:hAnsi="Calibri"/>
          <w:b w:val="0"/>
          <w:i/>
          <w:color w:val="555F6B"/>
          <w:sz w:val="18"/>
        </w:rPr>
        <w:t>Source: Company press release &amp; earnings call (April 29, 2026). Updated guidance does not assume material additional in-licensing or M&amp;A.</w:t>
      </w:r>
    </w:p>
    <w:p>
      <w:pPr>
        <w:spacing w:before="200" w:after="80"/>
      </w:pPr>
      <w:r>
        <w:rPr>
          <w:rFonts w:ascii="Calibri" w:hAnsi="Calibri"/>
          <w:b/>
          <w:color w:val="0B2C5C"/>
          <w:sz w:val="28"/>
        </w:rPr>
        <w:t>Our Updated Estimates</w:t>
      </w:r>
    </w:p>
    <w:tbl>
      <w:tblPr>
        <w:tblStyle w:val="LightGrid-Accent1"/>
        <w:tblW w:type="auto" w:w="0"/>
        <w:tblLayout w:type="fixed"/>
        <w:tblLook w:firstColumn="1" w:firstRow="1" w:lastColumn="0" w:lastRow="0" w:noHBand="0" w:noVBand="1" w:val="04A0"/>
      </w:tblPr>
      <w:tblGrid>
        <w:gridCol w:w="1987"/>
        <w:gridCol w:w="1987"/>
        <w:gridCol w:w="1987"/>
        <w:gridCol w:w="1987"/>
        <w:gridCol w:w="1987"/>
      </w:tblGrid>
      <w:tr>
        <w:tc>
          <w:tcPr>
            <w:tcW w:type="dxa" w:w="2304"/>
            <w:shd w:val="clear" w:color="auto" w:fill="0B2C5C"/>
          </w:tcPr>
          <w:p>
            <w:r/>
            <w:r>
              <w:rPr>
                <w:rFonts w:ascii="Calibri" w:hAnsi="Calibri"/>
                <w:b/>
                <w:color w:val="FFFFFF"/>
                <w:sz w:val="20"/>
              </w:rPr>
              <w:t>Metric</w:t>
            </w:r>
          </w:p>
        </w:tc>
        <w:tc>
          <w:tcPr>
            <w:tcW w:type="dxa" w:w="1728"/>
            <w:shd w:val="clear" w:color="auto" w:fill="0B2C5C"/>
          </w:tcPr>
          <w:p>
            <w:r/>
            <w:r>
              <w:rPr>
                <w:rFonts w:ascii="Calibri" w:hAnsi="Calibri"/>
                <w:b/>
                <w:color w:val="FFFFFF"/>
                <w:sz w:val="20"/>
              </w:rPr>
              <w:t>Prior FY26E</w:t>
            </w:r>
          </w:p>
        </w:tc>
        <w:tc>
          <w:tcPr>
            <w:tcW w:type="dxa" w:w="1728"/>
            <w:shd w:val="clear" w:color="auto" w:fill="0B2C5C"/>
          </w:tcPr>
          <w:p>
            <w:r/>
            <w:r>
              <w:rPr>
                <w:rFonts w:ascii="Calibri" w:hAnsi="Calibri"/>
                <w:b/>
                <w:color w:val="FFFFFF"/>
                <w:sz w:val="20"/>
              </w:rPr>
              <w:t>New FY26E</w:t>
            </w:r>
          </w:p>
        </w:tc>
        <w:tc>
          <w:tcPr>
            <w:tcW w:type="dxa" w:w="1728"/>
            <w:shd w:val="clear" w:color="auto" w:fill="0B2C5C"/>
          </w:tcPr>
          <w:p>
            <w:r/>
            <w:r>
              <w:rPr>
                <w:rFonts w:ascii="Calibri" w:hAnsi="Calibri"/>
                <w:b/>
                <w:color w:val="FFFFFF"/>
                <w:sz w:val="20"/>
              </w:rPr>
              <w:t>FY27E</w:t>
            </w:r>
          </w:p>
        </w:tc>
        <w:tc>
          <w:tcPr>
            <w:tcW w:type="dxa" w:w="1728"/>
            <w:shd w:val="clear" w:color="auto" w:fill="0B2C5C"/>
          </w:tcPr>
          <w:p>
            <w:r/>
            <w:r>
              <w:rPr>
                <w:rFonts w:ascii="Calibri" w:hAnsi="Calibri"/>
                <w:b/>
                <w:color w:val="FFFFFF"/>
                <w:sz w:val="20"/>
              </w:rPr>
              <w:t>FY28E</w:t>
            </w:r>
          </w:p>
        </w:tc>
      </w:tr>
      <w:tr>
        <w:tc>
          <w:tcPr>
            <w:tcW w:type="dxa" w:w="2304"/>
          </w:tcPr>
          <w:p>
            <w:r/>
            <w:r>
              <w:rPr>
                <w:rFonts w:ascii="Calibri" w:hAnsi="Calibri"/>
                <w:sz w:val="20"/>
              </w:rPr>
              <w:t>Revenue</w:t>
            </w:r>
          </w:p>
        </w:tc>
        <w:tc>
          <w:tcPr>
            <w:tcW w:type="dxa" w:w="1728"/>
          </w:tcPr>
          <w:p>
            <w:r/>
            <w:r>
              <w:rPr>
                <w:rFonts w:ascii="Calibri" w:hAnsi="Calibri"/>
                <w:sz w:val="20"/>
              </w:rPr>
              <w:t>$66.8B</w:t>
            </w:r>
          </w:p>
        </w:tc>
        <w:tc>
          <w:tcPr>
            <w:tcW w:type="dxa" w:w="1728"/>
          </w:tcPr>
          <w:p>
            <w:r/>
            <w:r>
              <w:rPr>
                <w:rFonts w:ascii="Calibri" w:hAnsi="Calibri"/>
                <w:sz w:val="20"/>
              </w:rPr>
              <w:t>$67.4B</w:t>
            </w:r>
          </w:p>
        </w:tc>
        <w:tc>
          <w:tcPr>
            <w:tcW w:type="dxa" w:w="1728"/>
          </w:tcPr>
          <w:p>
            <w:r/>
            <w:r>
              <w:rPr>
                <w:rFonts w:ascii="Calibri" w:hAnsi="Calibri"/>
                <w:sz w:val="20"/>
              </w:rPr>
              <w:t>$72.5B</w:t>
            </w:r>
          </w:p>
        </w:tc>
        <w:tc>
          <w:tcPr>
            <w:tcW w:type="dxa" w:w="1728"/>
          </w:tcPr>
          <w:p>
            <w:r/>
            <w:r>
              <w:rPr>
                <w:rFonts w:ascii="Calibri" w:hAnsi="Calibri"/>
                <w:sz w:val="20"/>
              </w:rPr>
              <w:t>$77.0B</w:t>
            </w:r>
          </w:p>
        </w:tc>
      </w:tr>
      <w:tr>
        <w:tc>
          <w:tcPr>
            <w:tcW w:type="dxa" w:w="2304"/>
            <w:shd w:val="clear" w:color="auto" w:fill="F4F7FB"/>
          </w:tcPr>
          <w:p>
            <w:r/>
            <w:r>
              <w:rPr>
                <w:rFonts w:ascii="Calibri" w:hAnsi="Calibri"/>
                <w:sz w:val="20"/>
              </w:rPr>
              <w:t>Operational Growth</w:t>
            </w:r>
          </w:p>
        </w:tc>
        <w:tc>
          <w:tcPr>
            <w:tcW w:type="dxa" w:w="1728"/>
            <w:shd w:val="clear" w:color="auto" w:fill="F4F7FB"/>
          </w:tcPr>
          <w:p>
            <w:r/>
            <w:r>
              <w:rPr>
                <w:rFonts w:ascii="Calibri" w:hAnsi="Calibri"/>
                <w:sz w:val="20"/>
              </w:rPr>
              <w:t>+5.8%</w:t>
            </w:r>
          </w:p>
        </w:tc>
        <w:tc>
          <w:tcPr>
            <w:tcW w:type="dxa" w:w="1728"/>
            <w:shd w:val="clear" w:color="auto" w:fill="F4F7FB"/>
          </w:tcPr>
          <w:p>
            <w:r/>
            <w:r>
              <w:rPr>
                <w:rFonts w:ascii="Calibri" w:hAnsi="Calibri"/>
                <w:sz w:val="20"/>
              </w:rPr>
              <w:t>+6.5%</w:t>
            </w:r>
          </w:p>
        </w:tc>
        <w:tc>
          <w:tcPr>
            <w:tcW w:type="dxa" w:w="1728"/>
            <w:shd w:val="clear" w:color="auto" w:fill="F4F7FB"/>
          </w:tcPr>
          <w:p>
            <w:r/>
            <w:r>
              <w:rPr>
                <w:rFonts w:ascii="Calibri" w:hAnsi="Calibri"/>
                <w:sz w:val="20"/>
              </w:rPr>
              <w:t>+7.5%</w:t>
            </w:r>
          </w:p>
        </w:tc>
        <w:tc>
          <w:tcPr>
            <w:tcW w:type="dxa" w:w="1728"/>
            <w:shd w:val="clear" w:color="auto" w:fill="F4F7FB"/>
          </w:tcPr>
          <w:p>
            <w:r/>
            <w:r>
              <w:rPr>
                <w:rFonts w:ascii="Calibri" w:hAnsi="Calibri"/>
                <w:sz w:val="20"/>
              </w:rPr>
              <w:t>+6.0%</w:t>
            </w:r>
          </w:p>
        </w:tc>
      </w:tr>
      <w:tr>
        <w:tc>
          <w:tcPr>
            <w:tcW w:type="dxa" w:w="2304"/>
          </w:tcPr>
          <w:p>
            <w:r/>
            <w:r>
              <w:rPr>
                <w:rFonts w:ascii="Calibri" w:hAnsi="Calibri"/>
                <w:sz w:val="20"/>
              </w:rPr>
              <w:t>Adj. EPS</w:t>
            </w:r>
          </w:p>
        </w:tc>
        <w:tc>
          <w:tcPr>
            <w:tcW w:type="dxa" w:w="1728"/>
          </w:tcPr>
          <w:p>
            <w:r/>
            <w:r>
              <w:rPr>
                <w:rFonts w:ascii="Calibri" w:hAnsi="Calibri"/>
                <w:sz w:val="20"/>
              </w:rPr>
              <w:t>$14.05</w:t>
            </w:r>
          </w:p>
        </w:tc>
        <w:tc>
          <w:tcPr>
            <w:tcW w:type="dxa" w:w="1728"/>
          </w:tcPr>
          <w:p>
            <w:r/>
            <w:r>
              <w:rPr>
                <w:rFonts w:ascii="Calibri" w:hAnsi="Calibri"/>
                <w:sz w:val="20"/>
              </w:rPr>
              <w:t>$14.20</w:t>
            </w:r>
          </w:p>
        </w:tc>
        <w:tc>
          <w:tcPr>
            <w:tcW w:type="dxa" w:w="1728"/>
          </w:tcPr>
          <w:p>
            <w:r/>
            <w:r>
              <w:rPr>
                <w:rFonts w:ascii="Calibri" w:hAnsi="Calibri"/>
                <w:sz w:val="20"/>
              </w:rPr>
              <w:t>$15.85</w:t>
            </w:r>
          </w:p>
        </w:tc>
        <w:tc>
          <w:tcPr>
            <w:tcW w:type="dxa" w:w="1728"/>
          </w:tcPr>
          <w:p>
            <w:r/>
            <w:r>
              <w:rPr>
                <w:rFonts w:ascii="Calibri" w:hAnsi="Calibri"/>
                <w:sz w:val="20"/>
              </w:rPr>
              <w:t>$17.40</w:t>
            </w:r>
          </w:p>
        </w:tc>
      </w:tr>
      <w:tr>
        <w:tc>
          <w:tcPr>
            <w:tcW w:type="dxa" w:w="2304"/>
            <w:shd w:val="clear" w:color="auto" w:fill="F4F7FB"/>
          </w:tcPr>
          <w:p>
            <w:r/>
            <w:r>
              <w:rPr>
                <w:rFonts w:ascii="Calibri" w:hAnsi="Calibri"/>
                <w:sz w:val="20"/>
              </w:rPr>
              <w:t>Adj. Op. Margin</w:t>
            </w:r>
          </w:p>
        </w:tc>
        <w:tc>
          <w:tcPr>
            <w:tcW w:type="dxa" w:w="1728"/>
            <w:shd w:val="clear" w:color="auto" w:fill="F4F7FB"/>
          </w:tcPr>
          <w:p>
            <w:r/>
            <w:r>
              <w:rPr>
                <w:rFonts w:ascii="Calibri" w:hAnsi="Calibri"/>
                <w:sz w:val="20"/>
              </w:rPr>
              <w:t>42.5%</w:t>
            </w:r>
          </w:p>
        </w:tc>
        <w:tc>
          <w:tcPr>
            <w:tcW w:type="dxa" w:w="1728"/>
            <w:shd w:val="clear" w:color="auto" w:fill="F4F7FB"/>
          </w:tcPr>
          <w:p>
            <w:r/>
            <w:r>
              <w:rPr>
                <w:rFonts w:ascii="Calibri" w:hAnsi="Calibri"/>
                <w:sz w:val="20"/>
              </w:rPr>
              <w:t>42.5%</w:t>
            </w:r>
          </w:p>
        </w:tc>
        <w:tc>
          <w:tcPr>
            <w:tcW w:type="dxa" w:w="1728"/>
            <w:shd w:val="clear" w:color="auto" w:fill="F4F7FB"/>
          </w:tcPr>
          <w:p>
            <w:r/>
            <w:r>
              <w:rPr>
                <w:rFonts w:ascii="Calibri" w:hAnsi="Calibri"/>
                <w:sz w:val="20"/>
              </w:rPr>
              <w:t>43.5%</w:t>
            </w:r>
          </w:p>
        </w:tc>
        <w:tc>
          <w:tcPr>
            <w:tcW w:type="dxa" w:w="1728"/>
            <w:shd w:val="clear" w:color="auto" w:fill="F4F7FB"/>
          </w:tcPr>
          <w:p>
            <w:r/>
            <w:r>
              <w:rPr>
                <w:rFonts w:ascii="Calibri" w:hAnsi="Calibri"/>
                <w:sz w:val="20"/>
              </w:rPr>
              <w:t>44.0%</w:t>
            </w:r>
          </w:p>
        </w:tc>
      </w:tr>
      <w:tr>
        <w:tc>
          <w:tcPr>
            <w:tcW w:type="dxa" w:w="2304"/>
          </w:tcPr>
          <w:p>
            <w:r/>
            <w:r>
              <w:rPr>
                <w:rFonts w:ascii="Calibri" w:hAnsi="Calibri"/>
                <w:sz w:val="20"/>
              </w:rPr>
              <w:t>Free Cash Flow</w:t>
            </w:r>
          </w:p>
        </w:tc>
        <w:tc>
          <w:tcPr>
            <w:tcW w:type="dxa" w:w="1728"/>
          </w:tcPr>
          <w:p>
            <w:r/>
            <w:r>
              <w:rPr>
                <w:rFonts w:ascii="Calibri" w:hAnsi="Calibri"/>
                <w:sz w:val="20"/>
              </w:rPr>
              <w:t>$22.0B</w:t>
            </w:r>
          </w:p>
        </w:tc>
        <w:tc>
          <w:tcPr>
            <w:tcW w:type="dxa" w:w="1728"/>
          </w:tcPr>
          <w:p>
            <w:r/>
            <w:r>
              <w:rPr>
                <w:rFonts w:ascii="Calibri" w:hAnsi="Calibri"/>
                <w:sz w:val="20"/>
              </w:rPr>
              <w:t>$22.5B</w:t>
            </w:r>
          </w:p>
        </w:tc>
        <w:tc>
          <w:tcPr>
            <w:tcW w:type="dxa" w:w="1728"/>
          </w:tcPr>
          <w:p>
            <w:r/>
            <w:r>
              <w:rPr>
                <w:rFonts w:ascii="Calibri" w:hAnsi="Calibri"/>
                <w:sz w:val="20"/>
              </w:rPr>
              <w:t>$25.5B</w:t>
            </w:r>
          </w:p>
        </w:tc>
        <w:tc>
          <w:tcPr>
            <w:tcW w:type="dxa" w:w="1728"/>
          </w:tcPr>
          <w:p>
            <w:r/>
            <w:r>
              <w:rPr>
                <w:rFonts w:ascii="Calibri" w:hAnsi="Calibri"/>
                <w:sz w:val="20"/>
              </w:rPr>
              <w:t>$28.0B</w:t>
            </w:r>
          </w:p>
        </w:tc>
      </w:tr>
    </w:tbl>
    <w:p>
      <w:pPr>
        <w:spacing w:after="80"/>
      </w:pPr>
      <w:r>
        <w:rPr>
          <w:rFonts w:ascii="Calibri" w:hAnsi="Calibri"/>
          <w:b w:val="0"/>
          <w:i/>
          <w:color w:val="555F6B"/>
          <w:sz w:val="18"/>
        </w:rPr>
        <w:t>Source: Finance Index Research estimates; FY27E and FY28E reflect Skyrizi/Rinvoq peak penetration and incremental contribution from the neuroscience pipeline (tavapadon, Epkinly).</w:t>
      </w:r>
    </w:p>
    <w:p>
      <w:pPr>
        <w:spacing w:before="200" w:after="80"/>
      </w:pPr>
      <w:r>
        <w:rPr>
          <w:rFonts w:ascii="Calibri" w:hAnsi="Calibri"/>
          <w:b/>
          <w:color w:val="0B2C5C"/>
          <w:sz w:val="28"/>
        </w:rPr>
        <w:t>Key Operating Metrics</w:t>
      </w:r>
    </w:p>
    <w:tbl>
      <w:tblPr>
        <w:tblStyle w:val="LightGrid-Accent1"/>
        <w:tblW w:type="auto" w:w="0"/>
        <w:tblLayout w:type="fixed"/>
        <w:tblLook w:firstColumn="1" w:firstRow="1" w:lastColumn="0" w:lastRow="0" w:noHBand="0" w:noVBand="1" w:val="04A0"/>
      </w:tblPr>
      <w:tblGrid>
        <w:gridCol w:w="2484"/>
        <w:gridCol w:w="2484"/>
        <w:gridCol w:w="2484"/>
        <w:gridCol w:w="2484"/>
      </w:tblGrid>
      <w:tr>
        <w:tc>
          <w:tcPr>
            <w:tcW w:type="dxa" w:w="3600"/>
            <w:shd w:val="clear" w:color="auto" w:fill="0B2C5C"/>
          </w:tcPr>
          <w:p>
            <w:r/>
            <w:r>
              <w:rPr>
                <w:rFonts w:ascii="Calibri" w:hAnsi="Calibri"/>
                <w:b/>
                <w:color w:val="FFFFFF"/>
                <w:sz w:val="20"/>
              </w:rPr>
              <w:t>KPI</w:t>
            </w:r>
          </w:p>
        </w:tc>
        <w:tc>
          <w:tcPr>
            <w:tcW w:type="dxa" w:w="1728"/>
            <w:shd w:val="clear" w:color="auto" w:fill="0B2C5C"/>
          </w:tcPr>
          <w:p>
            <w:r/>
            <w:r>
              <w:rPr>
                <w:rFonts w:ascii="Calibri" w:hAnsi="Calibri"/>
                <w:b/>
                <w:color w:val="FFFFFF"/>
                <w:sz w:val="20"/>
              </w:rPr>
              <w:t>Q1 2025</w:t>
            </w:r>
          </w:p>
        </w:tc>
        <w:tc>
          <w:tcPr>
            <w:tcW w:type="dxa" w:w="1728"/>
            <w:shd w:val="clear" w:color="auto" w:fill="0B2C5C"/>
          </w:tcPr>
          <w:p>
            <w:r/>
            <w:r>
              <w:rPr>
                <w:rFonts w:ascii="Calibri" w:hAnsi="Calibri"/>
                <w:b/>
                <w:color w:val="FFFFFF"/>
                <w:sz w:val="20"/>
              </w:rPr>
              <w:t>Q1 2026</w:t>
            </w:r>
          </w:p>
        </w:tc>
        <w:tc>
          <w:tcPr>
            <w:tcW w:type="dxa" w:w="1728"/>
            <w:shd w:val="clear" w:color="auto" w:fill="0B2C5C"/>
          </w:tcPr>
          <w:p>
            <w:r/>
            <w:r>
              <w:rPr>
                <w:rFonts w:ascii="Calibri" w:hAnsi="Calibri"/>
                <w:b/>
                <w:color w:val="FFFFFF"/>
                <w:sz w:val="20"/>
              </w:rPr>
              <w:t>YoY</w:t>
            </w:r>
          </w:p>
        </w:tc>
      </w:tr>
      <w:tr>
        <w:tc>
          <w:tcPr>
            <w:tcW w:type="dxa" w:w="3600"/>
          </w:tcPr>
          <w:p>
            <w:r/>
            <w:r>
              <w:rPr>
                <w:rFonts w:ascii="Calibri" w:hAnsi="Calibri"/>
                <w:sz w:val="20"/>
              </w:rPr>
              <w:t>Revenue ($B)</w:t>
            </w:r>
          </w:p>
        </w:tc>
        <w:tc>
          <w:tcPr>
            <w:tcW w:type="dxa" w:w="1728"/>
          </w:tcPr>
          <w:p>
            <w:r/>
            <w:r>
              <w:rPr>
                <w:rFonts w:ascii="Calibri" w:hAnsi="Calibri"/>
                <w:sz w:val="20"/>
              </w:rPr>
              <w:t>$13.34</w:t>
            </w:r>
          </w:p>
        </w:tc>
        <w:tc>
          <w:tcPr>
            <w:tcW w:type="dxa" w:w="1728"/>
          </w:tcPr>
          <w:p>
            <w:r/>
            <w:r>
              <w:rPr>
                <w:rFonts w:ascii="Calibri" w:hAnsi="Calibri"/>
                <w:sz w:val="20"/>
              </w:rPr>
              <w:t>$15.00</w:t>
            </w:r>
          </w:p>
        </w:tc>
        <w:tc>
          <w:tcPr>
            <w:tcW w:type="dxa" w:w="1728"/>
          </w:tcPr>
          <w:p>
            <w:r/>
            <w:r>
              <w:rPr>
                <w:rFonts w:ascii="Calibri" w:hAnsi="Calibri"/>
                <w:sz w:val="20"/>
              </w:rPr>
              <w:t>+12.4%</w:t>
            </w:r>
          </w:p>
        </w:tc>
      </w:tr>
      <w:tr>
        <w:tc>
          <w:tcPr>
            <w:tcW w:type="dxa" w:w="3600"/>
            <w:shd w:val="clear" w:color="auto" w:fill="F4F7FB"/>
          </w:tcPr>
          <w:p>
            <w:r/>
            <w:r>
              <w:rPr>
                <w:rFonts w:ascii="Calibri" w:hAnsi="Calibri"/>
                <w:sz w:val="20"/>
              </w:rPr>
              <w:t>Adj. EPS</w:t>
            </w:r>
          </w:p>
        </w:tc>
        <w:tc>
          <w:tcPr>
            <w:tcW w:type="dxa" w:w="1728"/>
            <w:shd w:val="clear" w:color="auto" w:fill="F4F7FB"/>
          </w:tcPr>
          <w:p>
            <w:r/>
            <w:r>
              <w:rPr>
                <w:rFonts w:ascii="Calibri" w:hAnsi="Calibri"/>
                <w:sz w:val="20"/>
              </w:rPr>
              <w:t>$2.46</w:t>
            </w:r>
          </w:p>
        </w:tc>
        <w:tc>
          <w:tcPr>
            <w:tcW w:type="dxa" w:w="1728"/>
            <w:shd w:val="clear" w:color="auto" w:fill="F4F7FB"/>
          </w:tcPr>
          <w:p>
            <w:r/>
            <w:r>
              <w:rPr>
                <w:rFonts w:ascii="Calibri" w:hAnsi="Calibri"/>
                <w:sz w:val="20"/>
              </w:rPr>
              <w:t>$2.65</w:t>
            </w:r>
          </w:p>
        </w:tc>
        <w:tc>
          <w:tcPr>
            <w:tcW w:type="dxa" w:w="1728"/>
            <w:shd w:val="clear" w:color="auto" w:fill="F4F7FB"/>
          </w:tcPr>
          <w:p>
            <w:r/>
            <w:r>
              <w:rPr>
                <w:rFonts w:ascii="Calibri" w:hAnsi="Calibri"/>
                <w:sz w:val="20"/>
              </w:rPr>
              <w:t>+7.7%</w:t>
            </w:r>
          </w:p>
        </w:tc>
      </w:tr>
      <w:tr>
        <w:tc>
          <w:tcPr>
            <w:tcW w:type="dxa" w:w="3600"/>
          </w:tcPr>
          <w:p>
            <w:r/>
            <w:r>
              <w:rPr>
                <w:rFonts w:ascii="Calibri" w:hAnsi="Calibri"/>
                <w:sz w:val="20"/>
              </w:rPr>
              <w:t>Skyrizi revenue ($B)</w:t>
            </w:r>
          </w:p>
        </w:tc>
        <w:tc>
          <w:tcPr>
            <w:tcW w:type="dxa" w:w="1728"/>
          </w:tcPr>
          <w:p>
            <w:r/>
            <w:r>
              <w:rPr>
                <w:rFonts w:ascii="Calibri" w:hAnsi="Calibri"/>
                <w:sz w:val="20"/>
              </w:rPr>
              <w:t>$3.42</w:t>
            </w:r>
          </w:p>
        </w:tc>
        <w:tc>
          <w:tcPr>
            <w:tcW w:type="dxa" w:w="1728"/>
          </w:tcPr>
          <w:p>
            <w:r/>
            <w:r>
              <w:rPr>
                <w:rFonts w:ascii="Calibri" w:hAnsi="Calibri"/>
                <w:sz w:val="20"/>
              </w:rPr>
              <w:t>$4.48</w:t>
            </w:r>
          </w:p>
        </w:tc>
        <w:tc>
          <w:tcPr>
            <w:tcW w:type="dxa" w:w="1728"/>
          </w:tcPr>
          <w:p>
            <w:r/>
            <w:r>
              <w:rPr>
                <w:rFonts w:ascii="Calibri" w:hAnsi="Calibri"/>
                <w:sz w:val="20"/>
              </w:rPr>
              <w:t>+30.9%</w:t>
            </w:r>
          </w:p>
        </w:tc>
      </w:tr>
      <w:tr>
        <w:tc>
          <w:tcPr>
            <w:tcW w:type="dxa" w:w="3600"/>
            <w:shd w:val="clear" w:color="auto" w:fill="F4F7FB"/>
          </w:tcPr>
          <w:p>
            <w:r/>
            <w:r>
              <w:rPr>
                <w:rFonts w:ascii="Calibri" w:hAnsi="Calibri"/>
                <w:sz w:val="20"/>
              </w:rPr>
              <w:t>Rinvoq revenue ($B)</w:t>
            </w:r>
          </w:p>
        </w:tc>
        <w:tc>
          <w:tcPr>
            <w:tcW w:type="dxa" w:w="1728"/>
            <w:shd w:val="clear" w:color="auto" w:fill="F4F7FB"/>
          </w:tcPr>
          <w:p>
            <w:r/>
            <w:r>
              <w:rPr>
                <w:rFonts w:ascii="Calibri" w:hAnsi="Calibri"/>
                <w:sz w:val="20"/>
              </w:rPr>
              <w:t>$1.72</w:t>
            </w:r>
          </w:p>
        </w:tc>
        <w:tc>
          <w:tcPr>
            <w:tcW w:type="dxa" w:w="1728"/>
            <w:shd w:val="clear" w:color="auto" w:fill="F4F7FB"/>
          </w:tcPr>
          <w:p>
            <w:r/>
            <w:r>
              <w:rPr>
                <w:rFonts w:ascii="Calibri" w:hAnsi="Calibri"/>
                <w:sz w:val="20"/>
              </w:rPr>
              <w:t>$2.12</w:t>
            </w:r>
          </w:p>
        </w:tc>
        <w:tc>
          <w:tcPr>
            <w:tcW w:type="dxa" w:w="1728"/>
            <w:shd w:val="clear" w:color="auto" w:fill="F4F7FB"/>
          </w:tcPr>
          <w:p>
            <w:r/>
            <w:r>
              <w:rPr>
                <w:rFonts w:ascii="Calibri" w:hAnsi="Calibri"/>
                <w:sz w:val="20"/>
              </w:rPr>
              <w:t>+23.3%</w:t>
            </w:r>
          </w:p>
        </w:tc>
      </w:tr>
      <w:tr>
        <w:tc>
          <w:tcPr>
            <w:tcW w:type="dxa" w:w="3600"/>
          </w:tcPr>
          <w:p>
            <w:r/>
            <w:r>
              <w:rPr>
                <w:rFonts w:ascii="Calibri" w:hAnsi="Calibri"/>
                <w:sz w:val="20"/>
              </w:rPr>
              <w:t>Humira revenue ($M)</w:t>
            </w:r>
          </w:p>
        </w:tc>
        <w:tc>
          <w:tcPr>
            <w:tcW w:type="dxa" w:w="1728"/>
          </w:tcPr>
          <w:p>
            <w:r/>
            <w:r>
              <w:rPr>
                <w:rFonts w:ascii="Calibri" w:hAnsi="Calibri"/>
                <w:sz w:val="20"/>
              </w:rPr>
              <w:t>$1,121</w:t>
            </w:r>
          </w:p>
        </w:tc>
        <w:tc>
          <w:tcPr>
            <w:tcW w:type="dxa" w:w="1728"/>
          </w:tcPr>
          <w:p>
            <w:r/>
            <w:r>
              <w:rPr>
                <w:rFonts w:ascii="Calibri" w:hAnsi="Calibri"/>
                <w:sz w:val="20"/>
              </w:rPr>
              <w:t>$688</w:t>
            </w:r>
          </w:p>
        </w:tc>
        <w:tc>
          <w:tcPr>
            <w:tcW w:type="dxa" w:w="1728"/>
          </w:tcPr>
          <w:p>
            <w:r/>
            <w:r>
              <w:rPr>
                <w:rFonts w:ascii="Calibri" w:hAnsi="Calibri"/>
                <w:sz w:val="20"/>
              </w:rPr>
              <w:t>(38.6%)</w:t>
            </w:r>
          </w:p>
        </w:tc>
      </w:tr>
      <w:tr>
        <w:tc>
          <w:tcPr>
            <w:tcW w:type="dxa" w:w="3600"/>
            <w:shd w:val="clear" w:color="auto" w:fill="F4F7FB"/>
          </w:tcPr>
          <w:p>
            <w:r/>
            <w:r>
              <w:rPr>
                <w:rFonts w:ascii="Calibri" w:hAnsi="Calibri"/>
                <w:sz w:val="20"/>
              </w:rPr>
              <w:t>Vraylar revenue ($M)</w:t>
            </w:r>
          </w:p>
        </w:tc>
        <w:tc>
          <w:tcPr>
            <w:tcW w:type="dxa" w:w="1728"/>
            <w:shd w:val="clear" w:color="auto" w:fill="F4F7FB"/>
          </w:tcPr>
          <w:p>
            <w:r/>
            <w:r>
              <w:rPr>
                <w:rFonts w:ascii="Calibri" w:hAnsi="Calibri"/>
                <w:sz w:val="20"/>
              </w:rPr>
              <w:t>$764</w:t>
            </w:r>
          </w:p>
        </w:tc>
        <w:tc>
          <w:tcPr>
            <w:tcW w:type="dxa" w:w="1728"/>
            <w:shd w:val="clear" w:color="auto" w:fill="F4F7FB"/>
          </w:tcPr>
          <w:p>
            <w:r/>
            <w:r>
              <w:rPr>
                <w:rFonts w:ascii="Calibri" w:hAnsi="Calibri"/>
                <w:sz w:val="20"/>
              </w:rPr>
              <w:t>$905</w:t>
            </w:r>
          </w:p>
        </w:tc>
        <w:tc>
          <w:tcPr>
            <w:tcW w:type="dxa" w:w="1728"/>
            <w:shd w:val="clear" w:color="auto" w:fill="F4F7FB"/>
          </w:tcPr>
          <w:p>
            <w:r/>
            <w:r>
              <w:rPr>
                <w:rFonts w:ascii="Calibri" w:hAnsi="Calibri"/>
                <w:sz w:val="20"/>
              </w:rPr>
              <w:t>+18.4%</w:t>
            </w:r>
          </w:p>
        </w:tc>
      </w:tr>
      <w:tr>
        <w:tc>
          <w:tcPr>
            <w:tcW w:type="dxa" w:w="3600"/>
          </w:tcPr>
          <w:p>
            <w:r/>
            <w:r>
              <w:rPr>
                <w:rFonts w:ascii="Calibri" w:hAnsi="Calibri"/>
                <w:sz w:val="20"/>
              </w:rPr>
              <w:t>Botox Cosmetic ($M)</w:t>
            </w:r>
          </w:p>
        </w:tc>
        <w:tc>
          <w:tcPr>
            <w:tcW w:type="dxa" w:w="1728"/>
          </w:tcPr>
          <w:p>
            <w:r/>
            <w:r>
              <w:rPr>
                <w:rFonts w:ascii="Calibri" w:hAnsi="Calibri"/>
                <w:sz w:val="20"/>
              </w:rPr>
              <w:t>$556</w:t>
            </w:r>
          </w:p>
        </w:tc>
        <w:tc>
          <w:tcPr>
            <w:tcW w:type="dxa" w:w="1728"/>
          </w:tcPr>
          <w:p>
            <w:r/>
            <w:r>
              <w:rPr>
                <w:rFonts w:ascii="Calibri" w:hAnsi="Calibri"/>
                <w:sz w:val="20"/>
              </w:rPr>
              <w:t>$668</w:t>
            </w:r>
          </w:p>
        </w:tc>
        <w:tc>
          <w:tcPr>
            <w:tcW w:type="dxa" w:w="1728"/>
          </w:tcPr>
          <w:p>
            <w:r/>
            <w:r>
              <w:rPr>
                <w:rFonts w:ascii="Calibri" w:hAnsi="Calibri"/>
                <w:sz w:val="20"/>
              </w:rPr>
              <w:t>+20.2%</w:t>
            </w:r>
          </w:p>
        </w:tc>
      </w:tr>
      <w:tr>
        <w:tc>
          <w:tcPr>
            <w:tcW w:type="dxa" w:w="3600"/>
            <w:shd w:val="clear" w:color="auto" w:fill="F4F7FB"/>
          </w:tcPr>
          <w:p>
            <w:r/>
            <w:r>
              <w:rPr>
                <w:rFonts w:ascii="Calibri" w:hAnsi="Calibri"/>
                <w:sz w:val="20"/>
              </w:rPr>
              <w:t>Adj. operating margin</w:t>
            </w:r>
          </w:p>
        </w:tc>
        <w:tc>
          <w:tcPr>
            <w:tcW w:type="dxa" w:w="1728"/>
            <w:shd w:val="clear" w:color="auto" w:fill="F4F7FB"/>
          </w:tcPr>
          <w:p>
            <w:r/>
            <w:r>
              <w:rPr>
                <w:rFonts w:ascii="Calibri" w:hAnsi="Calibri"/>
                <w:sz w:val="20"/>
              </w:rPr>
              <w:t>~42.0%</w:t>
            </w:r>
          </w:p>
        </w:tc>
        <w:tc>
          <w:tcPr>
            <w:tcW w:type="dxa" w:w="1728"/>
            <w:shd w:val="clear" w:color="auto" w:fill="F4F7FB"/>
          </w:tcPr>
          <w:p>
            <w:r/>
            <w:r>
              <w:rPr>
                <w:rFonts w:ascii="Calibri" w:hAnsi="Calibri"/>
                <w:sz w:val="20"/>
              </w:rPr>
              <w:t>40.8%</w:t>
            </w:r>
          </w:p>
        </w:tc>
        <w:tc>
          <w:tcPr>
            <w:tcW w:type="dxa" w:w="1728"/>
            <w:shd w:val="clear" w:color="auto" w:fill="F4F7FB"/>
          </w:tcPr>
          <w:p>
            <w:r/>
            <w:r>
              <w:rPr>
                <w:rFonts w:ascii="Calibri" w:hAnsi="Calibri"/>
                <w:sz w:val="20"/>
              </w:rPr>
              <w:t>(120bps)</w:t>
            </w:r>
          </w:p>
        </w:tc>
      </w:tr>
      <w:tr>
        <w:tc>
          <w:tcPr>
            <w:tcW w:type="dxa" w:w="3600"/>
          </w:tcPr>
          <w:p>
            <w:r/>
            <w:r>
              <w:rPr>
                <w:rFonts w:ascii="Calibri" w:hAnsi="Calibri"/>
                <w:sz w:val="20"/>
              </w:rPr>
              <w:t>Adj. gross margin</w:t>
            </w:r>
          </w:p>
        </w:tc>
        <w:tc>
          <w:tcPr>
            <w:tcW w:type="dxa" w:w="1728"/>
          </w:tcPr>
          <w:p>
            <w:r/>
            <w:r>
              <w:rPr>
                <w:rFonts w:ascii="Calibri" w:hAnsi="Calibri"/>
                <w:sz w:val="20"/>
              </w:rPr>
              <w:t>~84.0%</w:t>
            </w:r>
          </w:p>
        </w:tc>
        <w:tc>
          <w:tcPr>
            <w:tcW w:type="dxa" w:w="1728"/>
          </w:tcPr>
          <w:p>
            <w:r/>
            <w:r>
              <w:rPr>
                <w:rFonts w:ascii="Calibri" w:hAnsi="Calibri"/>
                <w:sz w:val="20"/>
              </w:rPr>
              <w:t>83.6%</w:t>
            </w:r>
          </w:p>
        </w:tc>
        <w:tc>
          <w:tcPr>
            <w:tcW w:type="dxa" w:w="1728"/>
          </w:tcPr>
          <w:p>
            <w:r/>
            <w:r>
              <w:rPr>
                <w:rFonts w:ascii="Calibri" w:hAnsi="Calibri"/>
                <w:sz w:val="20"/>
              </w:rPr>
              <w:t>(40bps)</w:t>
            </w:r>
          </w:p>
        </w:tc>
      </w:tr>
    </w:tbl>
    <w:p>
      <w:pPr>
        <w:spacing w:after="80"/>
      </w:pPr>
      <w:r>
        <w:rPr>
          <w:rFonts w:ascii="Calibri" w:hAnsi="Calibri"/>
          <w:b w:val="0"/>
          <w:i/>
          <w:color w:val="555F6B"/>
          <w:sz w:val="18"/>
        </w:rPr>
        <w:t>Source: Company filings, earnings call commentary, and Finance Index Research estimates.</w:t>
      </w:r>
    </w:p>
    <w:p>
      <w:r>
        <w:br w:type="page"/>
      </w:r>
    </w:p>
    <w:p>
      <w:pPr>
        <w:spacing w:before="280" w:after="160"/>
      </w:pPr>
      <w:r>
        <w:rPr>
          <w:rFonts w:ascii="Calibri" w:hAnsi="Calibri"/>
          <w:b/>
          <w:color w:val="0B2C5C"/>
          <w:sz w:val="36"/>
        </w:rPr>
        <w:t>Investment Thesis - Updated</w:t>
      </w:r>
    </w:p>
    <w:p>
      <w:pPr>
        <w:spacing w:before="200" w:after="80"/>
      </w:pPr>
      <w:r>
        <w:rPr>
          <w:rFonts w:ascii="Calibri" w:hAnsi="Calibri"/>
          <w:b/>
          <w:color w:val="0B2C5C"/>
          <w:sz w:val="28"/>
        </w:rPr>
        <w:t>What Changed This Quarter</w:t>
      </w:r>
    </w:p>
    <w:p>
      <w:pPr>
        <w:spacing w:after="80"/>
      </w:pPr>
      <w:r>
        <w:rPr>
          <w:rFonts w:ascii="Calibri" w:hAnsi="Calibri"/>
          <w:b w:val="0"/>
          <w:i w:val="0"/>
          <w:sz w:val="21"/>
        </w:rPr>
        <w:t>Q1 2026 was, in our view, the inflection-point print that re-rates AbbVie from a 'managed-decline post-Humira' equity into a 'durable high-growth pharma' equity. Three points of conviction increased materially:</w:t>
      </w:r>
    </w:p>
    <w:p>
      <w:pPr>
        <w:pStyle w:val="ListBullet"/>
        <w:spacing w:after="40"/>
      </w:pPr>
      <w:r>
        <w:rPr>
          <w:rFonts w:ascii="Calibri" w:hAnsi="Calibri"/>
          <w:sz w:val="21"/>
        </w:rPr>
        <w:t>Skyrizi's +30.9% growth at a $4.5B+ quarterly run-rate is comfortably ahead of consensus and on a trajectory to make it the largest non-GLP-1 drug in the world by 2027. The IBD label is the swing factor; Q1 indicates IBD share take is happening faster than modeled.</w:t>
      </w:r>
    </w:p>
    <w:p>
      <w:pPr>
        <w:pStyle w:val="ListBullet"/>
        <w:spacing w:after="40"/>
      </w:pPr>
      <w:r>
        <w:rPr>
          <w:rFonts w:ascii="Calibri" w:hAnsi="Calibri"/>
          <w:sz w:val="21"/>
        </w:rPr>
        <w:t>Rinvoq +23.3% with broad-based contribution across rheumatology, derm, and IBD validates the multi-indication thesis. JIA approval and GCA approval are incremental and the GLP-1 obesity halo on AbbVie's broader inflammation pipeline (e.g., obesity-linked psoriasis cohorts) is a tailwind, not headwind.</w:t>
      </w:r>
    </w:p>
    <w:p>
      <w:pPr>
        <w:pStyle w:val="ListBullet"/>
        <w:spacing w:after="40"/>
      </w:pPr>
      <w:r>
        <w:rPr>
          <w:rFonts w:ascii="Calibri" w:hAnsi="Calibri"/>
          <w:sz w:val="21"/>
        </w:rPr>
        <w:t>Neuroscience +26.0% reported growth - led by Vraylar, Botox Therapeutic, and the Qulipta/Ubrelvy migraine duo - establishes a clear second-leg growth franchise that the Street has yet to fully capitalize. Cerevel pipeline optionality (tavapadon Phase 3 in Parkinson's, darigabat) is a free option in the multiple.</w:t>
      </w:r>
    </w:p>
    <w:p>
      <w:pPr>
        <w:spacing w:before="200" w:after="80"/>
      </w:pPr>
      <w:r>
        <w:rPr>
          <w:rFonts w:ascii="Calibri" w:hAnsi="Calibri"/>
          <w:b/>
          <w:color w:val="0B2C5C"/>
          <w:sz w:val="28"/>
        </w:rPr>
        <w:t>What Did Not Change</w:t>
      </w:r>
    </w:p>
    <w:p>
      <w:pPr>
        <w:spacing w:after="80"/>
      </w:pPr>
      <w:r>
        <w:rPr>
          <w:rFonts w:ascii="Calibri" w:hAnsi="Calibri"/>
          <w:b w:val="0"/>
          <w:i w:val="0"/>
          <w:sz w:val="21"/>
        </w:rPr>
        <w:t>The structural overhangs that have weighed on the multiple remain, though most have stabilized: (a) the Humira biosimilar erosion is now in the deep tail and will become non-material to the P&amp;L by 2027, (b) the IRA Medicare price negotiation overhang on Imbruvica (already in the first round of negotiated drugs, effective 2026) is being absorbed - Imbruvica's $556M Q1 print is in the modeled trajectory, (c) Skyrizi and Rinvoq are facing competitive pressure from oral IL-23 candidates (Pfizer's etrasimod, BMS deucravacitinib expansion, J&amp;J's IL-23p19 next-generation) but the Q1 share-take print suggests AbbVie is winning that competitive landscape, and (d) elevated leverage from Cerevel and ImmunoGen acquisitions remains a dividend-coverage concern but the cash-flow trajectory is rapidly de-risking the balance sheet.</w:t>
      </w:r>
    </w:p>
    <w:p>
      <w:pPr>
        <w:spacing w:before="200" w:after="80"/>
      </w:pPr>
      <w:r>
        <w:rPr>
          <w:rFonts w:ascii="Calibri" w:hAnsi="Calibri"/>
          <w:b/>
          <w:color w:val="0B2C5C"/>
          <w:sz w:val="28"/>
        </w:rPr>
        <w:t>Bull / Base / Bear Scenarios - 2027 Adj. EPS</w:t>
      </w:r>
    </w:p>
    <w:tbl>
      <w:tblPr>
        <w:tblStyle w:val="LightGrid-Accent1"/>
        <w:tblW w:type="auto" w:w="0"/>
        <w:tblLayout w:type="fixed"/>
        <w:tblLook w:firstColumn="1" w:firstRow="1" w:lastColumn="0" w:lastRow="0" w:noHBand="0" w:noVBand="1" w:val="04A0"/>
      </w:tblPr>
      <w:tblGrid>
        <w:gridCol w:w="1987"/>
        <w:gridCol w:w="1987"/>
        <w:gridCol w:w="1987"/>
        <w:gridCol w:w="1987"/>
        <w:gridCol w:w="1987"/>
      </w:tblGrid>
      <w:tr>
        <w:tc>
          <w:tcPr>
            <w:tcW w:type="dxa" w:w="2448"/>
            <w:shd w:val="clear" w:color="auto" w:fill="0B2C5C"/>
          </w:tcPr>
          <w:p>
            <w:r/>
            <w:r>
              <w:rPr>
                <w:rFonts w:ascii="Calibri" w:hAnsi="Calibri"/>
                <w:b/>
                <w:color w:val="FFFFFF"/>
                <w:sz w:val="20"/>
              </w:rPr>
              <w:t>Scenario</w:t>
            </w:r>
          </w:p>
        </w:tc>
        <w:tc>
          <w:tcPr>
            <w:tcW w:type="dxa" w:w="1872"/>
            <w:shd w:val="clear" w:color="auto" w:fill="0B2C5C"/>
          </w:tcPr>
          <w:p>
            <w:r/>
            <w:r>
              <w:rPr>
                <w:rFonts w:ascii="Calibri" w:hAnsi="Calibri"/>
                <w:b/>
                <w:color w:val="FFFFFF"/>
                <w:sz w:val="20"/>
              </w:rPr>
              <w:t>2027 Adj. EPS</w:t>
            </w:r>
          </w:p>
        </w:tc>
        <w:tc>
          <w:tcPr>
            <w:tcW w:type="dxa" w:w="1440"/>
            <w:shd w:val="clear" w:color="auto" w:fill="0B2C5C"/>
          </w:tcPr>
          <w:p>
            <w:r/>
            <w:r>
              <w:rPr>
                <w:rFonts w:ascii="Calibri" w:hAnsi="Calibri"/>
                <w:b/>
                <w:color w:val="FFFFFF"/>
                <w:sz w:val="20"/>
              </w:rPr>
              <w:t>Multiple</w:t>
            </w:r>
          </w:p>
        </w:tc>
        <w:tc>
          <w:tcPr>
            <w:tcW w:type="dxa" w:w="1872"/>
            <w:shd w:val="clear" w:color="auto" w:fill="0B2C5C"/>
          </w:tcPr>
          <w:p>
            <w:r/>
            <w:r>
              <w:rPr>
                <w:rFonts w:ascii="Calibri" w:hAnsi="Calibri"/>
                <w:b/>
                <w:color w:val="FFFFFF"/>
                <w:sz w:val="20"/>
              </w:rPr>
              <w:t>Implied PT</w:t>
            </w:r>
          </w:p>
        </w:tc>
        <w:tc>
          <w:tcPr>
            <w:tcW w:type="dxa" w:w="2016"/>
            <w:shd w:val="clear" w:color="auto" w:fill="0B2C5C"/>
          </w:tcPr>
          <w:p>
            <w:r/>
            <w:r>
              <w:rPr>
                <w:rFonts w:ascii="Calibri" w:hAnsi="Calibri"/>
                <w:b/>
                <w:color w:val="FFFFFF"/>
                <w:sz w:val="20"/>
              </w:rPr>
              <w:t>Probability</w:t>
            </w:r>
          </w:p>
        </w:tc>
      </w:tr>
      <w:tr>
        <w:tc>
          <w:tcPr>
            <w:tcW w:type="dxa" w:w="2448"/>
          </w:tcPr>
          <w:p>
            <w:r/>
            <w:r>
              <w:rPr>
                <w:rFonts w:ascii="Calibri" w:hAnsi="Calibri"/>
                <w:sz w:val="20"/>
              </w:rPr>
              <w:t>Bull</w:t>
            </w:r>
          </w:p>
        </w:tc>
        <w:tc>
          <w:tcPr>
            <w:tcW w:type="dxa" w:w="1872"/>
          </w:tcPr>
          <w:p>
            <w:r/>
            <w:r>
              <w:rPr>
                <w:rFonts w:ascii="Calibri" w:hAnsi="Calibri"/>
                <w:sz w:val="20"/>
              </w:rPr>
              <w:t>$16.50</w:t>
            </w:r>
          </w:p>
        </w:tc>
        <w:tc>
          <w:tcPr>
            <w:tcW w:type="dxa" w:w="1440"/>
          </w:tcPr>
          <w:p>
            <w:r/>
            <w:r>
              <w:rPr>
                <w:rFonts w:ascii="Calibri" w:hAnsi="Calibri"/>
                <w:sz w:val="20"/>
              </w:rPr>
              <w:t>19.0x</w:t>
            </w:r>
          </w:p>
        </w:tc>
        <w:tc>
          <w:tcPr>
            <w:tcW w:type="dxa" w:w="1872"/>
          </w:tcPr>
          <w:p>
            <w:r/>
            <w:r>
              <w:rPr>
                <w:rFonts w:ascii="Calibri" w:hAnsi="Calibri"/>
                <w:sz w:val="20"/>
              </w:rPr>
              <w:t>$314</w:t>
            </w:r>
          </w:p>
        </w:tc>
        <w:tc>
          <w:tcPr>
            <w:tcW w:type="dxa" w:w="2016"/>
          </w:tcPr>
          <w:p>
            <w:r/>
            <w:r>
              <w:rPr>
                <w:rFonts w:ascii="Calibri" w:hAnsi="Calibri"/>
                <w:sz w:val="20"/>
              </w:rPr>
              <w:t>20%</w:t>
            </w:r>
          </w:p>
        </w:tc>
      </w:tr>
      <w:tr>
        <w:tc>
          <w:tcPr>
            <w:tcW w:type="dxa" w:w="2448"/>
            <w:shd w:val="clear" w:color="auto" w:fill="F4F7FB"/>
          </w:tcPr>
          <w:p>
            <w:r/>
            <w:r>
              <w:rPr>
                <w:rFonts w:ascii="Calibri" w:hAnsi="Calibri"/>
                <w:sz w:val="20"/>
              </w:rPr>
              <w:t>Base</w:t>
            </w:r>
          </w:p>
        </w:tc>
        <w:tc>
          <w:tcPr>
            <w:tcW w:type="dxa" w:w="1872"/>
            <w:shd w:val="clear" w:color="auto" w:fill="F4F7FB"/>
          </w:tcPr>
          <w:p>
            <w:r/>
            <w:r>
              <w:rPr>
                <w:rFonts w:ascii="Calibri" w:hAnsi="Calibri"/>
                <w:sz w:val="20"/>
              </w:rPr>
              <w:t>$15.85</w:t>
            </w:r>
          </w:p>
        </w:tc>
        <w:tc>
          <w:tcPr>
            <w:tcW w:type="dxa" w:w="1440"/>
            <w:shd w:val="clear" w:color="auto" w:fill="F4F7FB"/>
          </w:tcPr>
          <w:p>
            <w:r/>
            <w:r>
              <w:rPr>
                <w:rFonts w:ascii="Calibri" w:hAnsi="Calibri"/>
                <w:sz w:val="20"/>
              </w:rPr>
              <w:t>16.5x</w:t>
            </w:r>
          </w:p>
        </w:tc>
        <w:tc>
          <w:tcPr>
            <w:tcW w:type="dxa" w:w="1872"/>
            <w:shd w:val="clear" w:color="auto" w:fill="F4F7FB"/>
          </w:tcPr>
          <w:p>
            <w:r/>
            <w:r>
              <w:rPr>
                <w:rFonts w:ascii="Calibri" w:hAnsi="Calibri"/>
                <w:sz w:val="20"/>
              </w:rPr>
              <w:t>$262</w:t>
            </w:r>
          </w:p>
        </w:tc>
        <w:tc>
          <w:tcPr>
            <w:tcW w:type="dxa" w:w="2016"/>
            <w:shd w:val="clear" w:color="auto" w:fill="F4F7FB"/>
          </w:tcPr>
          <w:p>
            <w:r/>
            <w:r>
              <w:rPr>
                <w:rFonts w:ascii="Calibri" w:hAnsi="Calibri"/>
                <w:sz w:val="20"/>
              </w:rPr>
              <w:t>60%</w:t>
            </w:r>
          </w:p>
        </w:tc>
      </w:tr>
      <w:tr>
        <w:tc>
          <w:tcPr>
            <w:tcW w:type="dxa" w:w="2448"/>
          </w:tcPr>
          <w:p>
            <w:r/>
            <w:r>
              <w:rPr>
                <w:rFonts w:ascii="Calibri" w:hAnsi="Calibri"/>
                <w:sz w:val="20"/>
              </w:rPr>
              <w:t>Bear</w:t>
            </w:r>
          </w:p>
        </w:tc>
        <w:tc>
          <w:tcPr>
            <w:tcW w:type="dxa" w:w="1872"/>
          </w:tcPr>
          <w:p>
            <w:r/>
            <w:r>
              <w:rPr>
                <w:rFonts w:ascii="Calibri" w:hAnsi="Calibri"/>
                <w:sz w:val="20"/>
              </w:rPr>
              <w:t>$14.40</w:t>
            </w:r>
          </w:p>
        </w:tc>
        <w:tc>
          <w:tcPr>
            <w:tcW w:type="dxa" w:w="1440"/>
          </w:tcPr>
          <w:p>
            <w:r/>
            <w:r>
              <w:rPr>
                <w:rFonts w:ascii="Calibri" w:hAnsi="Calibri"/>
                <w:sz w:val="20"/>
              </w:rPr>
              <w:t>13.5x</w:t>
            </w:r>
          </w:p>
        </w:tc>
        <w:tc>
          <w:tcPr>
            <w:tcW w:type="dxa" w:w="1872"/>
          </w:tcPr>
          <w:p>
            <w:r/>
            <w:r>
              <w:rPr>
                <w:rFonts w:ascii="Calibri" w:hAnsi="Calibri"/>
                <w:sz w:val="20"/>
              </w:rPr>
              <w:t>$194</w:t>
            </w:r>
          </w:p>
        </w:tc>
        <w:tc>
          <w:tcPr>
            <w:tcW w:type="dxa" w:w="2016"/>
          </w:tcPr>
          <w:p>
            <w:r/>
            <w:r>
              <w:rPr>
                <w:rFonts w:ascii="Calibri" w:hAnsi="Calibri"/>
                <w:sz w:val="20"/>
              </w:rPr>
              <w:t>20%</w:t>
            </w:r>
          </w:p>
        </w:tc>
      </w:tr>
      <w:tr>
        <w:tc>
          <w:tcPr>
            <w:tcW w:type="dxa" w:w="2448"/>
            <w:shd w:val="clear" w:color="auto" w:fill="F4F7FB"/>
          </w:tcPr>
          <w:p>
            <w:r/>
            <w:r>
              <w:rPr>
                <w:rFonts w:ascii="Calibri" w:hAnsi="Calibri"/>
                <w:sz w:val="20"/>
              </w:rPr>
              <w:t>Probability-weighted</w:t>
            </w:r>
          </w:p>
        </w:tc>
        <w:tc>
          <w:tcPr>
            <w:tcW w:type="dxa" w:w="1872"/>
            <w:shd w:val="clear" w:color="auto" w:fill="F4F7FB"/>
          </w:tcPr>
          <w:p>
            <w:r/>
            <w:r>
              <w:rPr>
                <w:rFonts w:ascii="Calibri" w:hAnsi="Calibri"/>
                <w:sz w:val="20"/>
              </w:rPr>
              <w:t>$15.65</w:t>
            </w:r>
          </w:p>
        </w:tc>
        <w:tc>
          <w:tcPr>
            <w:tcW w:type="dxa" w:w="1440"/>
            <w:shd w:val="clear" w:color="auto" w:fill="F4F7FB"/>
          </w:tcPr>
          <w:p>
            <w:r/>
            <w:r>
              <w:rPr>
                <w:rFonts w:ascii="Calibri" w:hAnsi="Calibri"/>
                <w:sz w:val="20"/>
              </w:rPr>
              <w:t>16.5x</w:t>
            </w:r>
          </w:p>
        </w:tc>
        <w:tc>
          <w:tcPr>
            <w:tcW w:type="dxa" w:w="1872"/>
            <w:shd w:val="clear" w:color="auto" w:fill="F4F7FB"/>
          </w:tcPr>
          <w:p>
            <w:r/>
            <w:r>
              <w:rPr>
                <w:rFonts w:ascii="Calibri" w:hAnsi="Calibri"/>
                <w:sz w:val="20"/>
              </w:rPr>
              <w:t>$258</w:t>
            </w:r>
          </w:p>
        </w:tc>
        <w:tc>
          <w:tcPr>
            <w:tcW w:type="dxa" w:w="2016"/>
            <w:shd w:val="clear" w:color="auto" w:fill="F4F7FB"/>
          </w:tcPr>
          <w:p>
            <w:r/>
            <w:r>
              <w:rPr>
                <w:rFonts w:ascii="Calibri" w:hAnsi="Calibri"/>
                <w:sz w:val="20"/>
              </w:rPr>
              <w:t>-</w:t>
            </w:r>
          </w:p>
        </w:tc>
      </w:tr>
    </w:tbl>
    <w:p>
      <w:pPr>
        <w:spacing w:after="80"/>
      </w:pPr>
      <w:r>
        <w:rPr>
          <w:rFonts w:ascii="Calibri" w:hAnsi="Calibri"/>
          <w:b w:val="0"/>
          <w:i/>
          <w:color w:val="555F6B"/>
          <w:sz w:val="18"/>
        </w:rPr>
        <w:t>Source: Finance Index Research. Bull case assumes Skyrizi exceeds $25B run-rate by 2027 and Cerevel pipeline yields one approvable asset; bear case assumes oral IL-23 entrants compress immunology growth and Imbruvica/Imbruvica-class accelerated decline.</w:t>
      </w:r>
    </w:p>
    <w:p>
      <w:pPr>
        <w:spacing w:before="200" w:after="80"/>
      </w:pPr>
      <w:r>
        <w:rPr>
          <w:rFonts w:ascii="Calibri" w:hAnsi="Calibri"/>
          <w:b/>
          <w:color w:val="0B2C5C"/>
          <w:sz w:val="28"/>
        </w:rPr>
        <w:t>Risks to the Thesis</w:t>
      </w:r>
    </w:p>
    <w:p>
      <w:pPr>
        <w:pStyle w:val="ListBullet"/>
        <w:spacing w:after="40"/>
      </w:pPr>
      <w:r>
        <w:rPr>
          <w:rFonts w:ascii="Calibri" w:hAnsi="Calibri"/>
          <w:sz w:val="21"/>
        </w:rPr>
        <w:t>Skyrizi/Rinvoq concentration: the two products combined represent ~44% of total revenue. Any safety, label, or pricing setback would have an outsized impact on the franchise narrative and multiple.</w:t>
      </w:r>
    </w:p>
    <w:p>
      <w:pPr>
        <w:pStyle w:val="ListBullet"/>
        <w:spacing w:after="40"/>
      </w:pPr>
      <w:r>
        <w:rPr>
          <w:rFonts w:ascii="Calibri" w:hAnsi="Calibri"/>
          <w:sz w:val="21"/>
        </w:rPr>
        <w:t>Oral IL-23 / next-gen IBD competition: Pfizer (etrasimod), BMS (deucravacitinib expansion), and several private-stage assets pose a 2027-2029 competitive threat to Rinvoq and Skyrizi, particularly in IBD where the convenience of an oral could matter.</w:t>
      </w:r>
    </w:p>
    <w:p>
      <w:pPr>
        <w:pStyle w:val="ListBullet"/>
        <w:spacing w:after="40"/>
      </w:pPr>
      <w:r>
        <w:rPr>
          <w:rFonts w:ascii="Calibri" w:hAnsi="Calibri"/>
          <w:sz w:val="21"/>
        </w:rPr>
        <w:t>IRA pricing: Imbruvica negotiation impact is in numbers; the next round of selected drugs (announced 2026, effective 2028) could include Skyrizi or Vraylar - a meaningful overhang that the market has yet to handicap.</w:t>
      </w:r>
    </w:p>
    <w:p>
      <w:pPr>
        <w:pStyle w:val="ListBullet"/>
        <w:spacing w:after="40"/>
      </w:pPr>
      <w:r>
        <w:rPr>
          <w:rFonts w:ascii="Calibri" w:hAnsi="Calibri"/>
          <w:sz w:val="21"/>
        </w:rPr>
        <w:t>Pipeline execution: emraclidine's Phase 2 schizophrenia data has been mixed; tavapadon Phase 3 readout (expected 2026-2027) is the swing factor for Cerevel acquisition value.</w:t>
      </w:r>
    </w:p>
    <w:p>
      <w:pPr>
        <w:pStyle w:val="ListBullet"/>
        <w:spacing w:after="40"/>
      </w:pPr>
      <w:r>
        <w:rPr>
          <w:rFonts w:ascii="Calibri" w:hAnsi="Calibri"/>
          <w:sz w:val="21"/>
        </w:rPr>
        <w:t>Leverage: ~2.3x net debt/EBITDA is manageable but limits transformative M&amp;A optionality; covenant headroom is healthy but rating agencies are watching.</w:t>
      </w:r>
    </w:p>
    <w:p>
      <w:pPr>
        <w:pStyle w:val="ListBullet"/>
        <w:spacing w:after="40"/>
      </w:pPr>
      <w:r>
        <w:rPr>
          <w:rFonts w:ascii="Calibri" w:hAnsi="Calibri"/>
          <w:sz w:val="21"/>
        </w:rPr>
        <w:t>Aesthetics consumer cyclicality: Botox Cosmetic's reacceleration is constructive, but a U.S. consumer downturn would flow directly through to the segment.</w:t>
      </w:r>
    </w:p>
    <w:p>
      <w:r>
        <w:br w:type="page"/>
      </w:r>
    </w:p>
    <w:p>
      <w:pPr>
        <w:spacing w:before="280" w:after="160"/>
      </w:pPr>
      <w:r>
        <w:rPr>
          <w:rFonts w:ascii="Calibri" w:hAnsi="Calibri"/>
          <w:b/>
          <w:color w:val="0B2C5C"/>
          <w:sz w:val="36"/>
        </w:rPr>
        <w:t>Valuation &amp; Price Target</w:t>
      </w:r>
    </w:p>
    <w:p>
      <w:pPr>
        <w:spacing w:before="200" w:after="80"/>
      </w:pPr>
      <w:r>
        <w:rPr>
          <w:rFonts w:ascii="Calibri" w:hAnsi="Calibri"/>
          <w:b/>
          <w:color w:val="0B2C5C"/>
          <w:sz w:val="28"/>
        </w:rPr>
        <w:t>Methodology</w:t>
      </w:r>
    </w:p>
    <w:p>
      <w:pPr>
        <w:spacing w:after="80"/>
      </w:pPr>
      <w:r>
        <w:rPr>
          <w:rFonts w:ascii="Calibri" w:hAnsi="Calibri"/>
          <w:b w:val="0"/>
          <w:i w:val="0"/>
          <w:sz w:val="21"/>
        </w:rPr>
        <w:t>We anchor our $255 12-month price target on a probability-weighted blend of (i) a forward P/E framework against our 2026E adj. EPS of $14.20 at 18.0x - in line with the historical large-cap pharma growth band (Lilly ex-GLP-1 trades at 25x+, AbbVie ought to trade between the Merck/JNJ cluster at 14-16x and the high-growth tier at 22x+) - and (ii) a five-year discounted cash flow with a 7.5% WACC and 2.5% terminal growth, yielding an intrinsic value of $263. We view AbbVie as the highest-quality post-LOE pharma franchise and apply only a modest discount to fair value to reflect the Skyrizi/Rinvoq concentration risk. Triangulation against pharma peers (PFE, MRK, JNJ, BMY, LLY, NVS) on EV/EBITDA continues to support a premium for AbbVie on growth profile and FCF yield.</w:t>
      </w:r>
    </w:p>
    <w:tbl>
      <w:tblPr>
        <w:tblStyle w:val="LightGrid-Accent1"/>
        <w:tblW w:type="auto" w:w="0"/>
        <w:tblLayout w:type="fixed"/>
        <w:tblLook w:firstColumn="1" w:firstRow="1" w:lastColumn="0" w:lastRow="0" w:noHBand="0" w:noVBand="1" w:val="04A0"/>
      </w:tblPr>
      <w:tblGrid>
        <w:gridCol w:w="2484"/>
        <w:gridCol w:w="2484"/>
        <w:gridCol w:w="2484"/>
        <w:gridCol w:w="2484"/>
      </w:tblGrid>
      <w:tr>
        <w:tc>
          <w:tcPr>
            <w:tcW w:type="dxa" w:w="2880"/>
            <w:shd w:val="clear" w:color="auto" w:fill="0B2C5C"/>
          </w:tcPr>
          <w:p>
            <w:r/>
            <w:r>
              <w:rPr>
                <w:rFonts w:ascii="Calibri" w:hAnsi="Calibri"/>
                <w:b/>
                <w:color w:val="FFFFFF"/>
                <w:sz w:val="20"/>
              </w:rPr>
              <w:t>Methodology</w:t>
            </w:r>
          </w:p>
        </w:tc>
        <w:tc>
          <w:tcPr>
            <w:tcW w:type="dxa" w:w="2592"/>
            <w:shd w:val="clear" w:color="auto" w:fill="0B2C5C"/>
          </w:tcPr>
          <w:p>
            <w:r/>
            <w:r>
              <w:rPr>
                <w:rFonts w:ascii="Calibri" w:hAnsi="Calibri"/>
                <w:b/>
                <w:color w:val="FFFFFF"/>
                <w:sz w:val="20"/>
              </w:rPr>
              <w:t>Assumption</w:t>
            </w:r>
          </w:p>
        </w:tc>
        <w:tc>
          <w:tcPr>
            <w:tcW w:type="dxa" w:w="2016"/>
            <w:shd w:val="clear" w:color="auto" w:fill="0B2C5C"/>
          </w:tcPr>
          <w:p>
            <w:r/>
            <w:r>
              <w:rPr>
                <w:rFonts w:ascii="Calibri" w:hAnsi="Calibri"/>
                <w:b/>
                <w:color w:val="FFFFFF"/>
                <w:sz w:val="20"/>
              </w:rPr>
              <w:t>Implied Value</w:t>
            </w:r>
          </w:p>
        </w:tc>
        <w:tc>
          <w:tcPr>
            <w:tcW w:type="dxa" w:w="1440"/>
            <w:shd w:val="clear" w:color="auto" w:fill="0B2C5C"/>
          </w:tcPr>
          <w:p>
            <w:r/>
            <w:r>
              <w:rPr>
                <w:rFonts w:ascii="Calibri" w:hAnsi="Calibri"/>
                <w:b/>
                <w:color w:val="FFFFFF"/>
                <w:sz w:val="20"/>
              </w:rPr>
              <w:t>Weight</w:t>
            </w:r>
          </w:p>
        </w:tc>
      </w:tr>
      <w:tr>
        <w:tc>
          <w:tcPr>
            <w:tcW w:type="dxa" w:w="2880"/>
          </w:tcPr>
          <w:p>
            <w:r/>
            <w:r>
              <w:rPr>
                <w:rFonts w:ascii="Calibri" w:hAnsi="Calibri"/>
                <w:sz w:val="20"/>
              </w:rPr>
              <w:t>P/E on 2026E adj. EPS</w:t>
            </w:r>
          </w:p>
        </w:tc>
        <w:tc>
          <w:tcPr>
            <w:tcW w:type="dxa" w:w="2592"/>
          </w:tcPr>
          <w:p>
            <w:r/>
            <w:r>
              <w:rPr>
                <w:rFonts w:ascii="Calibri" w:hAnsi="Calibri"/>
                <w:sz w:val="20"/>
              </w:rPr>
              <w:t>18.0x x $14.20</w:t>
            </w:r>
          </w:p>
        </w:tc>
        <w:tc>
          <w:tcPr>
            <w:tcW w:type="dxa" w:w="2016"/>
          </w:tcPr>
          <w:p>
            <w:r/>
            <w:r>
              <w:rPr>
                <w:rFonts w:ascii="Calibri" w:hAnsi="Calibri"/>
                <w:sz w:val="20"/>
              </w:rPr>
              <w:t>$256</w:t>
            </w:r>
          </w:p>
        </w:tc>
        <w:tc>
          <w:tcPr>
            <w:tcW w:type="dxa" w:w="1440"/>
          </w:tcPr>
          <w:p>
            <w:r/>
            <w:r>
              <w:rPr>
                <w:rFonts w:ascii="Calibri" w:hAnsi="Calibri"/>
                <w:sz w:val="20"/>
              </w:rPr>
              <w:t>50%</w:t>
            </w:r>
          </w:p>
        </w:tc>
      </w:tr>
      <w:tr>
        <w:tc>
          <w:tcPr>
            <w:tcW w:type="dxa" w:w="2880"/>
            <w:shd w:val="clear" w:color="auto" w:fill="F4F7FB"/>
          </w:tcPr>
          <w:p>
            <w:r/>
            <w:r>
              <w:rPr>
                <w:rFonts w:ascii="Calibri" w:hAnsi="Calibri"/>
                <w:sz w:val="20"/>
              </w:rPr>
              <w:t>DCF (5-yr FCFF)</w:t>
            </w:r>
          </w:p>
        </w:tc>
        <w:tc>
          <w:tcPr>
            <w:tcW w:type="dxa" w:w="2592"/>
            <w:shd w:val="clear" w:color="auto" w:fill="F4F7FB"/>
          </w:tcPr>
          <w:p>
            <w:r/>
            <w:r>
              <w:rPr>
                <w:rFonts w:ascii="Calibri" w:hAnsi="Calibri"/>
                <w:sz w:val="20"/>
              </w:rPr>
              <w:t>WACC 7.5%, g 2.5%</w:t>
            </w:r>
          </w:p>
        </w:tc>
        <w:tc>
          <w:tcPr>
            <w:tcW w:type="dxa" w:w="2016"/>
            <w:shd w:val="clear" w:color="auto" w:fill="F4F7FB"/>
          </w:tcPr>
          <w:p>
            <w:r/>
            <w:r>
              <w:rPr>
                <w:rFonts w:ascii="Calibri" w:hAnsi="Calibri"/>
                <w:sz w:val="20"/>
              </w:rPr>
              <w:t>$263</w:t>
            </w:r>
          </w:p>
        </w:tc>
        <w:tc>
          <w:tcPr>
            <w:tcW w:type="dxa" w:w="1440"/>
            <w:shd w:val="clear" w:color="auto" w:fill="F4F7FB"/>
          </w:tcPr>
          <w:p>
            <w:r/>
            <w:r>
              <w:rPr>
                <w:rFonts w:ascii="Calibri" w:hAnsi="Calibri"/>
                <w:sz w:val="20"/>
              </w:rPr>
              <w:t>30%</w:t>
            </w:r>
          </w:p>
        </w:tc>
      </w:tr>
      <w:tr>
        <w:tc>
          <w:tcPr>
            <w:tcW w:type="dxa" w:w="2880"/>
          </w:tcPr>
          <w:p>
            <w:r/>
            <w:r>
              <w:rPr>
                <w:rFonts w:ascii="Calibri" w:hAnsi="Calibri"/>
                <w:sz w:val="20"/>
              </w:rPr>
              <w:t>EV/EBITDA on 2026E</w:t>
            </w:r>
          </w:p>
        </w:tc>
        <w:tc>
          <w:tcPr>
            <w:tcW w:type="dxa" w:w="2592"/>
          </w:tcPr>
          <w:p>
            <w:r/>
            <w:r>
              <w:rPr>
                <w:rFonts w:ascii="Calibri" w:hAnsi="Calibri"/>
                <w:sz w:val="20"/>
              </w:rPr>
              <w:t>13.5x x $32.5B EBITDA</w:t>
            </w:r>
          </w:p>
        </w:tc>
        <w:tc>
          <w:tcPr>
            <w:tcW w:type="dxa" w:w="2016"/>
          </w:tcPr>
          <w:p>
            <w:r/>
            <w:r>
              <w:rPr>
                <w:rFonts w:ascii="Calibri" w:hAnsi="Calibri"/>
                <w:sz w:val="20"/>
              </w:rPr>
              <w:t>$248</w:t>
            </w:r>
          </w:p>
        </w:tc>
        <w:tc>
          <w:tcPr>
            <w:tcW w:type="dxa" w:w="1440"/>
          </w:tcPr>
          <w:p>
            <w:r/>
            <w:r>
              <w:rPr>
                <w:rFonts w:ascii="Calibri" w:hAnsi="Calibri"/>
                <w:sz w:val="20"/>
              </w:rPr>
              <w:t>20%</w:t>
            </w:r>
          </w:p>
        </w:tc>
      </w:tr>
      <w:tr>
        <w:tc>
          <w:tcPr>
            <w:tcW w:type="dxa" w:w="2880"/>
            <w:shd w:val="clear" w:color="auto" w:fill="F4F7FB"/>
          </w:tcPr>
          <w:p>
            <w:r/>
            <w:r>
              <w:rPr>
                <w:rFonts w:ascii="Calibri" w:hAnsi="Calibri"/>
                <w:sz w:val="20"/>
              </w:rPr>
              <w:t>Blended price target</w:t>
            </w:r>
          </w:p>
        </w:tc>
        <w:tc>
          <w:tcPr>
            <w:tcW w:type="dxa" w:w="2592"/>
            <w:shd w:val="clear" w:color="auto" w:fill="F4F7FB"/>
          </w:tcPr>
          <w:p>
            <w:r/>
            <w:r>
              <w:rPr>
                <w:rFonts w:ascii="Calibri" w:hAnsi="Calibri"/>
                <w:sz w:val="20"/>
              </w:rPr>
              <w:t>-</w:t>
            </w:r>
          </w:p>
        </w:tc>
        <w:tc>
          <w:tcPr>
            <w:tcW w:type="dxa" w:w="2016"/>
            <w:shd w:val="clear" w:color="auto" w:fill="F4F7FB"/>
          </w:tcPr>
          <w:p>
            <w:r/>
            <w:r>
              <w:rPr>
                <w:rFonts w:ascii="Calibri" w:hAnsi="Calibri"/>
                <w:sz w:val="20"/>
              </w:rPr>
              <w:t>$255</w:t>
            </w:r>
          </w:p>
        </w:tc>
        <w:tc>
          <w:tcPr>
            <w:tcW w:type="dxa" w:w="1440"/>
            <w:shd w:val="clear" w:color="auto" w:fill="F4F7FB"/>
          </w:tcPr>
          <w:p>
            <w:r/>
            <w:r>
              <w:rPr>
                <w:rFonts w:ascii="Calibri" w:hAnsi="Calibri"/>
                <w:sz w:val="20"/>
              </w:rPr>
              <w:t>100%</w:t>
            </w:r>
          </w:p>
        </w:tc>
      </w:tr>
    </w:tbl>
    <w:p>
      <w:pPr>
        <w:spacing w:before="200" w:after="80"/>
      </w:pPr>
      <w:r>
        <w:rPr>
          <w:rFonts w:ascii="Calibri" w:hAnsi="Calibri"/>
          <w:b/>
          <w:color w:val="0B2C5C"/>
          <w:sz w:val="28"/>
        </w:rPr>
        <w:t>Multiple History &amp; Peer Comparison</w:t>
      </w:r>
    </w:p>
    <w:tbl>
      <w:tblPr>
        <w:tblStyle w:val="LightGrid-Accent1"/>
        <w:tblW w:type="auto" w:w="0"/>
        <w:tblLayout w:type="fixed"/>
        <w:tblLook w:firstColumn="1" w:firstRow="1" w:lastColumn="0" w:lastRow="0" w:noHBand="0" w:noVBand="1" w:val="04A0"/>
      </w:tblPr>
      <w:tblGrid>
        <w:gridCol w:w="1987"/>
        <w:gridCol w:w="1987"/>
        <w:gridCol w:w="1987"/>
        <w:gridCol w:w="1987"/>
        <w:gridCol w:w="1987"/>
      </w:tblGrid>
      <w:tr>
        <w:tc>
          <w:tcPr>
            <w:tcW w:type="dxa" w:w="3312"/>
            <w:shd w:val="clear" w:color="auto" w:fill="0B2C5C"/>
          </w:tcPr>
          <w:p>
            <w:r/>
            <w:r>
              <w:rPr>
                <w:rFonts w:ascii="Calibri" w:hAnsi="Calibri"/>
                <w:b/>
                <w:color w:val="FFFFFF"/>
                <w:sz w:val="20"/>
              </w:rPr>
              <w:t>Company</w:t>
            </w:r>
          </w:p>
        </w:tc>
        <w:tc>
          <w:tcPr>
            <w:tcW w:type="dxa" w:w="1584"/>
            <w:shd w:val="clear" w:color="auto" w:fill="0B2C5C"/>
          </w:tcPr>
          <w:p>
            <w:r/>
            <w:r>
              <w:rPr>
                <w:rFonts w:ascii="Calibri" w:hAnsi="Calibri"/>
                <w:b/>
                <w:color w:val="FFFFFF"/>
                <w:sz w:val="20"/>
              </w:rPr>
              <w:t>2026E P/E</w:t>
            </w:r>
          </w:p>
        </w:tc>
        <w:tc>
          <w:tcPr>
            <w:tcW w:type="dxa" w:w="1872"/>
            <w:shd w:val="clear" w:color="auto" w:fill="0B2C5C"/>
          </w:tcPr>
          <w:p>
            <w:r/>
            <w:r>
              <w:rPr>
                <w:rFonts w:ascii="Calibri" w:hAnsi="Calibri"/>
                <w:b/>
                <w:color w:val="FFFFFF"/>
                <w:sz w:val="20"/>
              </w:rPr>
              <w:t>2026E EV/EBITDA</w:t>
            </w:r>
          </w:p>
        </w:tc>
        <w:tc>
          <w:tcPr>
            <w:tcW w:type="dxa" w:w="1296"/>
            <w:shd w:val="clear" w:color="auto" w:fill="0B2C5C"/>
          </w:tcPr>
          <w:p>
            <w:r/>
            <w:r>
              <w:rPr>
                <w:rFonts w:ascii="Calibri" w:hAnsi="Calibri"/>
                <w:b/>
                <w:color w:val="FFFFFF"/>
                <w:sz w:val="20"/>
              </w:rPr>
              <w:t>FCF Yield</w:t>
            </w:r>
          </w:p>
        </w:tc>
        <w:tc>
          <w:tcPr>
            <w:tcW w:type="dxa" w:w="1296"/>
            <w:shd w:val="clear" w:color="auto" w:fill="0B2C5C"/>
          </w:tcPr>
          <w:p>
            <w:r/>
            <w:r>
              <w:rPr>
                <w:rFonts w:ascii="Calibri" w:hAnsi="Calibri"/>
                <w:b/>
                <w:color w:val="FFFFFF"/>
                <w:sz w:val="20"/>
              </w:rPr>
              <w:t>Div Yield</w:t>
            </w:r>
          </w:p>
        </w:tc>
      </w:tr>
      <w:tr>
        <w:tc>
          <w:tcPr>
            <w:tcW w:type="dxa" w:w="3312"/>
          </w:tcPr>
          <w:p>
            <w:r/>
            <w:r>
              <w:rPr>
                <w:rFonts w:ascii="Calibri" w:hAnsi="Calibri"/>
                <w:sz w:val="20"/>
              </w:rPr>
              <w:t>AbbVie (ABBV)</w:t>
            </w:r>
          </w:p>
        </w:tc>
        <w:tc>
          <w:tcPr>
            <w:tcW w:type="dxa" w:w="1584"/>
          </w:tcPr>
          <w:p>
            <w:r/>
            <w:r>
              <w:rPr>
                <w:rFonts w:ascii="Calibri" w:hAnsi="Calibri"/>
                <w:sz w:val="20"/>
              </w:rPr>
              <w:t>15.1x</w:t>
            </w:r>
          </w:p>
        </w:tc>
        <w:tc>
          <w:tcPr>
            <w:tcW w:type="dxa" w:w="1872"/>
          </w:tcPr>
          <w:p>
            <w:r/>
            <w:r>
              <w:rPr>
                <w:rFonts w:ascii="Calibri" w:hAnsi="Calibri"/>
                <w:sz w:val="20"/>
              </w:rPr>
              <w:t>12.4x</w:t>
            </w:r>
          </w:p>
        </w:tc>
        <w:tc>
          <w:tcPr>
            <w:tcW w:type="dxa" w:w="1296"/>
          </w:tcPr>
          <w:p>
            <w:r/>
            <w:r>
              <w:rPr>
                <w:rFonts w:ascii="Calibri" w:hAnsi="Calibri"/>
                <w:sz w:val="20"/>
              </w:rPr>
              <w:t>5.6%</w:t>
            </w:r>
          </w:p>
        </w:tc>
        <w:tc>
          <w:tcPr>
            <w:tcW w:type="dxa" w:w="1296"/>
          </w:tcPr>
          <w:p>
            <w:r/>
            <w:r>
              <w:rPr>
                <w:rFonts w:ascii="Calibri" w:hAnsi="Calibri"/>
                <w:sz w:val="20"/>
              </w:rPr>
              <w:t>3.5%</w:t>
            </w:r>
          </w:p>
        </w:tc>
      </w:tr>
      <w:tr>
        <w:tc>
          <w:tcPr>
            <w:tcW w:type="dxa" w:w="3312"/>
            <w:shd w:val="clear" w:color="auto" w:fill="F4F7FB"/>
          </w:tcPr>
          <w:p>
            <w:r/>
            <w:r>
              <w:rPr>
                <w:rFonts w:ascii="Calibri" w:hAnsi="Calibri"/>
                <w:sz w:val="20"/>
              </w:rPr>
              <w:t>Eli Lilly (LLY)</w:t>
            </w:r>
          </w:p>
        </w:tc>
        <w:tc>
          <w:tcPr>
            <w:tcW w:type="dxa" w:w="1584"/>
            <w:shd w:val="clear" w:color="auto" w:fill="F4F7FB"/>
          </w:tcPr>
          <w:p>
            <w:r/>
            <w:r>
              <w:rPr>
                <w:rFonts w:ascii="Calibri" w:hAnsi="Calibri"/>
                <w:sz w:val="20"/>
              </w:rPr>
              <w:t>37.5x</w:t>
            </w:r>
          </w:p>
        </w:tc>
        <w:tc>
          <w:tcPr>
            <w:tcW w:type="dxa" w:w="1872"/>
            <w:shd w:val="clear" w:color="auto" w:fill="F4F7FB"/>
          </w:tcPr>
          <w:p>
            <w:r/>
            <w:r>
              <w:rPr>
                <w:rFonts w:ascii="Calibri" w:hAnsi="Calibri"/>
                <w:sz w:val="20"/>
              </w:rPr>
              <w:t>26.5x</w:t>
            </w:r>
          </w:p>
        </w:tc>
        <w:tc>
          <w:tcPr>
            <w:tcW w:type="dxa" w:w="1296"/>
            <w:shd w:val="clear" w:color="auto" w:fill="F4F7FB"/>
          </w:tcPr>
          <w:p>
            <w:r/>
            <w:r>
              <w:rPr>
                <w:rFonts w:ascii="Calibri" w:hAnsi="Calibri"/>
                <w:sz w:val="20"/>
              </w:rPr>
              <w:t>1.9%</w:t>
            </w:r>
          </w:p>
        </w:tc>
        <w:tc>
          <w:tcPr>
            <w:tcW w:type="dxa" w:w="1296"/>
            <w:shd w:val="clear" w:color="auto" w:fill="F4F7FB"/>
          </w:tcPr>
          <w:p>
            <w:r/>
            <w:r>
              <w:rPr>
                <w:rFonts w:ascii="Calibri" w:hAnsi="Calibri"/>
                <w:sz w:val="20"/>
              </w:rPr>
              <w:t>0.7%</w:t>
            </w:r>
          </w:p>
        </w:tc>
      </w:tr>
      <w:tr>
        <w:tc>
          <w:tcPr>
            <w:tcW w:type="dxa" w:w="3312"/>
          </w:tcPr>
          <w:p>
            <w:r/>
            <w:r>
              <w:rPr>
                <w:rFonts w:ascii="Calibri" w:hAnsi="Calibri"/>
                <w:sz w:val="20"/>
              </w:rPr>
              <w:t>Johnson &amp; Johnson (JNJ)</w:t>
            </w:r>
          </w:p>
        </w:tc>
        <w:tc>
          <w:tcPr>
            <w:tcW w:type="dxa" w:w="1584"/>
          </w:tcPr>
          <w:p>
            <w:r/>
            <w:r>
              <w:rPr>
                <w:rFonts w:ascii="Calibri" w:hAnsi="Calibri"/>
                <w:sz w:val="20"/>
              </w:rPr>
              <w:t>19.6x</w:t>
            </w:r>
          </w:p>
        </w:tc>
        <w:tc>
          <w:tcPr>
            <w:tcW w:type="dxa" w:w="1872"/>
          </w:tcPr>
          <w:p>
            <w:r/>
            <w:r>
              <w:rPr>
                <w:rFonts w:ascii="Calibri" w:hAnsi="Calibri"/>
                <w:sz w:val="20"/>
              </w:rPr>
              <w:t>13.0x</w:t>
            </w:r>
          </w:p>
        </w:tc>
        <w:tc>
          <w:tcPr>
            <w:tcW w:type="dxa" w:w="1296"/>
          </w:tcPr>
          <w:p>
            <w:r/>
            <w:r>
              <w:rPr>
                <w:rFonts w:ascii="Calibri" w:hAnsi="Calibri"/>
                <w:sz w:val="20"/>
              </w:rPr>
              <w:t>4.6%</w:t>
            </w:r>
          </w:p>
        </w:tc>
        <w:tc>
          <w:tcPr>
            <w:tcW w:type="dxa" w:w="1296"/>
          </w:tcPr>
          <w:p>
            <w:r/>
            <w:r>
              <w:rPr>
                <w:rFonts w:ascii="Calibri" w:hAnsi="Calibri"/>
                <w:sz w:val="20"/>
              </w:rPr>
              <w:t>2.4%</w:t>
            </w:r>
          </w:p>
        </w:tc>
      </w:tr>
      <w:tr>
        <w:tc>
          <w:tcPr>
            <w:tcW w:type="dxa" w:w="3312"/>
            <w:shd w:val="clear" w:color="auto" w:fill="F4F7FB"/>
          </w:tcPr>
          <w:p>
            <w:r/>
            <w:r>
              <w:rPr>
                <w:rFonts w:ascii="Calibri" w:hAnsi="Calibri"/>
                <w:sz w:val="20"/>
              </w:rPr>
              <w:t>Merck (MRK)</w:t>
            </w:r>
          </w:p>
        </w:tc>
        <w:tc>
          <w:tcPr>
            <w:tcW w:type="dxa" w:w="1584"/>
            <w:shd w:val="clear" w:color="auto" w:fill="F4F7FB"/>
          </w:tcPr>
          <w:p>
            <w:r/>
            <w:r>
              <w:rPr>
                <w:rFonts w:ascii="Calibri" w:hAnsi="Calibri"/>
                <w:sz w:val="20"/>
              </w:rPr>
              <w:t>14.2x</w:t>
            </w:r>
          </w:p>
        </w:tc>
        <w:tc>
          <w:tcPr>
            <w:tcW w:type="dxa" w:w="1872"/>
            <w:shd w:val="clear" w:color="auto" w:fill="F4F7FB"/>
          </w:tcPr>
          <w:p>
            <w:r/>
            <w:r>
              <w:rPr>
                <w:rFonts w:ascii="Calibri" w:hAnsi="Calibri"/>
                <w:sz w:val="20"/>
              </w:rPr>
              <w:t>10.5x</w:t>
            </w:r>
          </w:p>
        </w:tc>
        <w:tc>
          <w:tcPr>
            <w:tcW w:type="dxa" w:w="1296"/>
            <w:shd w:val="clear" w:color="auto" w:fill="F4F7FB"/>
          </w:tcPr>
          <w:p>
            <w:r/>
            <w:r>
              <w:rPr>
                <w:rFonts w:ascii="Calibri" w:hAnsi="Calibri"/>
                <w:sz w:val="20"/>
              </w:rPr>
              <w:t>6.8%</w:t>
            </w:r>
          </w:p>
        </w:tc>
        <w:tc>
          <w:tcPr>
            <w:tcW w:type="dxa" w:w="1296"/>
            <w:shd w:val="clear" w:color="auto" w:fill="F4F7FB"/>
          </w:tcPr>
          <w:p>
            <w:r/>
            <w:r>
              <w:rPr>
                <w:rFonts w:ascii="Calibri" w:hAnsi="Calibri"/>
                <w:sz w:val="20"/>
              </w:rPr>
              <w:t>3.1%</w:t>
            </w:r>
          </w:p>
        </w:tc>
      </w:tr>
      <w:tr>
        <w:tc>
          <w:tcPr>
            <w:tcW w:type="dxa" w:w="3312"/>
          </w:tcPr>
          <w:p>
            <w:r/>
            <w:r>
              <w:rPr>
                <w:rFonts w:ascii="Calibri" w:hAnsi="Calibri"/>
                <w:sz w:val="20"/>
              </w:rPr>
              <w:t>Pfizer (PFE)</w:t>
            </w:r>
          </w:p>
        </w:tc>
        <w:tc>
          <w:tcPr>
            <w:tcW w:type="dxa" w:w="1584"/>
          </w:tcPr>
          <w:p>
            <w:r/>
            <w:r>
              <w:rPr>
                <w:rFonts w:ascii="Calibri" w:hAnsi="Calibri"/>
                <w:sz w:val="20"/>
              </w:rPr>
              <w:t>11.0x</w:t>
            </w:r>
          </w:p>
        </w:tc>
        <w:tc>
          <w:tcPr>
            <w:tcW w:type="dxa" w:w="1872"/>
          </w:tcPr>
          <w:p>
            <w:r/>
            <w:r>
              <w:rPr>
                <w:rFonts w:ascii="Calibri" w:hAnsi="Calibri"/>
                <w:sz w:val="20"/>
              </w:rPr>
              <w:t>8.5x</w:t>
            </w:r>
          </w:p>
        </w:tc>
        <w:tc>
          <w:tcPr>
            <w:tcW w:type="dxa" w:w="1296"/>
          </w:tcPr>
          <w:p>
            <w:r/>
            <w:r>
              <w:rPr>
                <w:rFonts w:ascii="Calibri" w:hAnsi="Calibri"/>
                <w:sz w:val="20"/>
              </w:rPr>
              <w:t>8.7%</w:t>
            </w:r>
          </w:p>
        </w:tc>
        <w:tc>
          <w:tcPr>
            <w:tcW w:type="dxa" w:w="1296"/>
          </w:tcPr>
          <w:p>
            <w:r/>
            <w:r>
              <w:rPr>
                <w:rFonts w:ascii="Calibri" w:hAnsi="Calibri"/>
                <w:sz w:val="20"/>
              </w:rPr>
              <w:t>5.8%</w:t>
            </w:r>
          </w:p>
        </w:tc>
      </w:tr>
      <w:tr>
        <w:tc>
          <w:tcPr>
            <w:tcW w:type="dxa" w:w="3312"/>
            <w:shd w:val="clear" w:color="auto" w:fill="F4F7FB"/>
          </w:tcPr>
          <w:p>
            <w:r/>
            <w:r>
              <w:rPr>
                <w:rFonts w:ascii="Calibri" w:hAnsi="Calibri"/>
                <w:sz w:val="20"/>
              </w:rPr>
              <w:t>Bristol-Myers (BMY)</w:t>
            </w:r>
          </w:p>
        </w:tc>
        <w:tc>
          <w:tcPr>
            <w:tcW w:type="dxa" w:w="1584"/>
            <w:shd w:val="clear" w:color="auto" w:fill="F4F7FB"/>
          </w:tcPr>
          <w:p>
            <w:r/>
            <w:r>
              <w:rPr>
                <w:rFonts w:ascii="Calibri" w:hAnsi="Calibri"/>
                <w:sz w:val="20"/>
              </w:rPr>
              <w:t>9.5x</w:t>
            </w:r>
          </w:p>
        </w:tc>
        <w:tc>
          <w:tcPr>
            <w:tcW w:type="dxa" w:w="1872"/>
            <w:shd w:val="clear" w:color="auto" w:fill="F4F7FB"/>
          </w:tcPr>
          <w:p>
            <w:r/>
            <w:r>
              <w:rPr>
                <w:rFonts w:ascii="Calibri" w:hAnsi="Calibri"/>
                <w:sz w:val="20"/>
              </w:rPr>
              <w:t>7.8x</w:t>
            </w:r>
          </w:p>
        </w:tc>
        <w:tc>
          <w:tcPr>
            <w:tcW w:type="dxa" w:w="1296"/>
            <w:shd w:val="clear" w:color="auto" w:fill="F4F7FB"/>
          </w:tcPr>
          <w:p>
            <w:r/>
            <w:r>
              <w:rPr>
                <w:rFonts w:ascii="Calibri" w:hAnsi="Calibri"/>
                <w:sz w:val="20"/>
              </w:rPr>
              <w:t>10.5%</w:t>
            </w:r>
          </w:p>
        </w:tc>
        <w:tc>
          <w:tcPr>
            <w:tcW w:type="dxa" w:w="1296"/>
            <w:shd w:val="clear" w:color="auto" w:fill="F4F7FB"/>
          </w:tcPr>
          <w:p>
            <w:r/>
            <w:r>
              <w:rPr>
                <w:rFonts w:ascii="Calibri" w:hAnsi="Calibri"/>
                <w:sz w:val="20"/>
              </w:rPr>
              <w:t>4.6%</w:t>
            </w:r>
          </w:p>
        </w:tc>
      </w:tr>
      <w:tr>
        <w:tc>
          <w:tcPr>
            <w:tcW w:type="dxa" w:w="3312"/>
          </w:tcPr>
          <w:p>
            <w:r/>
            <w:r>
              <w:rPr>
                <w:rFonts w:ascii="Calibri" w:hAnsi="Calibri"/>
                <w:sz w:val="20"/>
              </w:rPr>
              <w:t>Novartis (NVS)</w:t>
            </w:r>
          </w:p>
        </w:tc>
        <w:tc>
          <w:tcPr>
            <w:tcW w:type="dxa" w:w="1584"/>
          </w:tcPr>
          <w:p>
            <w:r/>
            <w:r>
              <w:rPr>
                <w:rFonts w:ascii="Calibri" w:hAnsi="Calibri"/>
                <w:sz w:val="20"/>
              </w:rPr>
              <w:t>16.5x</w:t>
            </w:r>
          </w:p>
        </w:tc>
        <w:tc>
          <w:tcPr>
            <w:tcW w:type="dxa" w:w="1872"/>
          </w:tcPr>
          <w:p>
            <w:r/>
            <w:r>
              <w:rPr>
                <w:rFonts w:ascii="Calibri" w:hAnsi="Calibri"/>
                <w:sz w:val="20"/>
              </w:rPr>
              <w:t>12.0x</w:t>
            </w:r>
          </w:p>
        </w:tc>
        <w:tc>
          <w:tcPr>
            <w:tcW w:type="dxa" w:w="1296"/>
          </w:tcPr>
          <w:p>
            <w:r/>
            <w:r>
              <w:rPr>
                <w:rFonts w:ascii="Calibri" w:hAnsi="Calibri"/>
                <w:sz w:val="20"/>
              </w:rPr>
              <w:t>5.5%</w:t>
            </w:r>
          </w:p>
        </w:tc>
        <w:tc>
          <w:tcPr>
            <w:tcW w:type="dxa" w:w="1296"/>
          </w:tcPr>
          <w:p>
            <w:r/>
            <w:r>
              <w:rPr>
                <w:rFonts w:ascii="Calibri" w:hAnsi="Calibri"/>
                <w:sz w:val="20"/>
              </w:rPr>
              <w:t>3.4%</w:t>
            </w:r>
          </w:p>
        </w:tc>
      </w:tr>
      <w:tr>
        <w:tc>
          <w:tcPr>
            <w:tcW w:type="dxa" w:w="3312"/>
            <w:shd w:val="clear" w:color="auto" w:fill="F4F7FB"/>
          </w:tcPr>
          <w:p>
            <w:r/>
            <w:r>
              <w:rPr>
                <w:rFonts w:ascii="Calibri" w:hAnsi="Calibri"/>
                <w:sz w:val="20"/>
              </w:rPr>
              <w:t>Peer Median (ex-LLY)</w:t>
            </w:r>
          </w:p>
        </w:tc>
        <w:tc>
          <w:tcPr>
            <w:tcW w:type="dxa" w:w="1584"/>
            <w:shd w:val="clear" w:color="auto" w:fill="F4F7FB"/>
          </w:tcPr>
          <w:p>
            <w:r/>
            <w:r>
              <w:rPr>
                <w:rFonts w:ascii="Calibri" w:hAnsi="Calibri"/>
                <w:sz w:val="20"/>
              </w:rPr>
              <w:t>15.1x</w:t>
            </w:r>
          </w:p>
        </w:tc>
        <w:tc>
          <w:tcPr>
            <w:tcW w:type="dxa" w:w="1872"/>
            <w:shd w:val="clear" w:color="auto" w:fill="F4F7FB"/>
          </w:tcPr>
          <w:p>
            <w:r/>
            <w:r>
              <w:rPr>
                <w:rFonts w:ascii="Calibri" w:hAnsi="Calibri"/>
                <w:sz w:val="20"/>
              </w:rPr>
              <w:t>11.3x</w:t>
            </w:r>
          </w:p>
        </w:tc>
        <w:tc>
          <w:tcPr>
            <w:tcW w:type="dxa" w:w="1296"/>
            <w:shd w:val="clear" w:color="auto" w:fill="F4F7FB"/>
          </w:tcPr>
          <w:p>
            <w:r/>
            <w:r>
              <w:rPr>
                <w:rFonts w:ascii="Calibri" w:hAnsi="Calibri"/>
                <w:sz w:val="20"/>
              </w:rPr>
              <w:t>6.2%</w:t>
            </w:r>
          </w:p>
        </w:tc>
        <w:tc>
          <w:tcPr>
            <w:tcW w:type="dxa" w:w="1296"/>
            <w:shd w:val="clear" w:color="auto" w:fill="F4F7FB"/>
          </w:tcPr>
          <w:p>
            <w:r/>
            <w:r>
              <w:rPr>
                <w:rFonts w:ascii="Calibri" w:hAnsi="Calibri"/>
                <w:sz w:val="20"/>
              </w:rPr>
              <w:t>3.4%</w:t>
            </w:r>
          </w:p>
        </w:tc>
      </w:tr>
    </w:tbl>
    <w:p>
      <w:pPr>
        <w:spacing w:after="80"/>
      </w:pPr>
      <w:r>
        <w:rPr>
          <w:rFonts w:ascii="Calibri" w:hAnsi="Calibri"/>
          <w:b w:val="0"/>
          <w:i/>
          <w:color w:val="555F6B"/>
          <w:sz w:val="18"/>
        </w:rPr>
        <w:t>Source: Finance Index Research; consensus estimates from public data sources as of May 2, 2026.</w:t>
      </w:r>
    </w:p>
    <w:p>
      <w:pPr>
        <w:spacing w:after="80"/>
      </w:pPr>
      <w:r>
        <w:rPr>
          <w:rFonts w:ascii="Calibri" w:hAnsi="Calibri"/>
          <w:b w:val="0"/>
          <w:i w:val="0"/>
          <w:sz w:val="21"/>
        </w:rPr>
        <w:t>AbbVie trades right on the peer median ex-LLY despite delivering one of the highest top-line and EPS growth profiles in the group. We view the current valuation as offering meaningful re-rating upside to ~18x as 2027 EPS revisions move higher and the Street fully credits the post-Humira growth algorithm. Key factors supporting a premium versus the median: (a) Skyrizi/Rinvoq combined growth running at 25%+ in 2026, (b) neuroscience as a fast-growing second leg with multiple Phase 3 catalysts ahead, (c) FCF conversion of ~95% supporting consistent dividend growth and deleveraging, and (d) a 13-year track record of dividend increases (54-year combined with Abbott).</w:t>
      </w:r>
    </w:p>
    <w:p>
      <w:pPr>
        <w:spacing w:before="200" w:after="80"/>
      </w:pPr>
      <w:r>
        <w:rPr>
          <w:rFonts w:ascii="Calibri" w:hAnsi="Calibri"/>
          <w:b/>
          <w:color w:val="0B2C5C"/>
          <w:sz w:val="28"/>
        </w:rPr>
        <w:t>Sensitivity - Price Target to Skyrizi/Rinvoq 2027 Combined Revenue</w:t>
      </w:r>
    </w:p>
    <w:tbl>
      <w:tblPr>
        <w:tblStyle w:val="LightGrid-Accent1"/>
        <w:tblW w:type="auto" w:w="0"/>
        <w:tblLayout w:type="fixed"/>
        <w:tblLook w:firstColumn="1" w:firstRow="1" w:lastColumn="0" w:lastRow="0" w:noHBand="0" w:noVBand="1" w:val="04A0"/>
      </w:tblPr>
      <w:tblGrid>
        <w:gridCol w:w="2484"/>
        <w:gridCol w:w="2484"/>
        <w:gridCol w:w="2484"/>
        <w:gridCol w:w="2484"/>
      </w:tblGrid>
      <w:tr>
        <w:tc>
          <w:tcPr>
            <w:tcW w:type="dxa" w:w="2736"/>
            <w:shd w:val="clear" w:color="auto" w:fill="0B2C5C"/>
          </w:tcPr>
          <w:p>
            <w:r/>
            <w:r>
              <w:rPr>
                <w:rFonts w:ascii="Calibri" w:hAnsi="Calibri"/>
                <w:b/>
                <w:color w:val="FFFFFF"/>
                <w:sz w:val="20"/>
              </w:rPr>
              <w:t>S+R Combined 2027E</w:t>
            </w:r>
          </w:p>
        </w:tc>
        <w:tc>
          <w:tcPr>
            <w:tcW w:type="dxa" w:w="2736"/>
            <w:shd w:val="clear" w:color="auto" w:fill="0B2C5C"/>
          </w:tcPr>
          <w:p>
            <w:r/>
            <w:r>
              <w:rPr>
                <w:rFonts w:ascii="Calibri" w:hAnsi="Calibri"/>
                <w:b/>
                <w:color w:val="FFFFFF"/>
                <w:sz w:val="20"/>
              </w:rPr>
              <w:t>Implied 2027 Adj. EPS</w:t>
            </w:r>
          </w:p>
        </w:tc>
        <w:tc>
          <w:tcPr>
            <w:tcW w:type="dxa" w:w="2160"/>
            <w:shd w:val="clear" w:color="auto" w:fill="0B2C5C"/>
          </w:tcPr>
          <w:p>
            <w:r/>
            <w:r>
              <w:rPr>
                <w:rFonts w:ascii="Calibri" w:hAnsi="Calibri"/>
                <w:b/>
                <w:color w:val="FFFFFF"/>
                <w:sz w:val="20"/>
              </w:rPr>
              <w:t>16.5x Multiple</w:t>
            </w:r>
          </w:p>
        </w:tc>
        <w:tc>
          <w:tcPr>
            <w:tcW w:type="dxa" w:w="1872"/>
            <w:shd w:val="clear" w:color="auto" w:fill="0B2C5C"/>
          </w:tcPr>
          <w:p>
            <w:r/>
            <w:r>
              <w:rPr>
                <w:rFonts w:ascii="Calibri" w:hAnsi="Calibri"/>
                <w:b/>
                <w:color w:val="FFFFFF"/>
                <w:sz w:val="20"/>
              </w:rPr>
              <w:t>PT Sensitivity</w:t>
            </w:r>
          </w:p>
        </w:tc>
      </w:tr>
      <w:tr>
        <w:tc>
          <w:tcPr>
            <w:tcW w:type="dxa" w:w="2736"/>
          </w:tcPr>
          <w:p>
            <w:r/>
            <w:r>
              <w:rPr>
                <w:rFonts w:ascii="Calibri" w:hAnsi="Calibri"/>
                <w:sz w:val="20"/>
              </w:rPr>
              <w:t>$28.0B (Bear)</w:t>
            </w:r>
          </w:p>
        </w:tc>
        <w:tc>
          <w:tcPr>
            <w:tcW w:type="dxa" w:w="2736"/>
          </w:tcPr>
          <w:p>
            <w:r/>
            <w:r>
              <w:rPr>
                <w:rFonts w:ascii="Calibri" w:hAnsi="Calibri"/>
                <w:sz w:val="20"/>
              </w:rPr>
              <w:t>$15.10</w:t>
            </w:r>
          </w:p>
        </w:tc>
        <w:tc>
          <w:tcPr>
            <w:tcW w:type="dxa" w:w="2160"/>
          </w:tcPr>
          <w:p>
            <w:r/>
            <w:r>
              <w:rPr>
                <w:rFonts w:ascii="Calibri" w:hAnsi="Calibri"/>
                <w:sz w:val="20"/>
              </w:rPr>
              <w:t>$249</w:t>
            </w:r>
          </w:p>
        </w:tc>
        <w:tc>
          <w:tcPr>
            <w:tcW w:type="dxa" w:w="1872"/>
          </w:tcPr>
          <w:p>
            <w:r/>
            <w:r>
              <w:rPr>
                <w:rFonts w:ascii="Calibri" w:hAnsi="Calibri"/>
                <w:sz w:val="20"/>
              </w:rPr>
              <w:t>($6)</w:t>
            </w:r>
          </w:p>
        </w:tc>
      </w:tr>
      <w:tr>
        <w:tc>
          <w:tcPr>
            <w:tcW w:type="dxa" w:w="2736"/>
            <w:shd w:val="clear" w:color="auto" w:fill="F4F7FB"/>
          </w:tcPr>
          <w:p>
            <w:r/>
            <w:r>
              <w:rPr>
                <w:rFonts w:ascii="Calibri" w:hAnsi="Calibri"/>
                <w:sz w:val="20"/>
              </w:rPr>
              <w:t>$30.0B (Base)</w:t>
            </w:r>
          </w:p>
        </w:tc>
        <w:tc>
          <w:tcPr>
            <w:tcW w:type="dxa" w:w="2736"/>
            <w:shd w:val="clear" w:color="auto" w:fill="F4F7FB"/>
          </w:tcPr>
          <w:p>
            <w:r/>
            <w:r>
              <w:rPr>
                <w:rFonts w:ascii="Calibri" w:hAnsi="Calibri"/>
                <w:sz w:val="20"/>
              </w:rPr>
              <w:t>$15.85</w:t>
            </w:r>
          </w:p>
        </w:tc>
        <w:tc>
          <w:tcPr>
            <w:tcW w:type="dxa" w:w="2160"/>
            <w:shd w:val="clear" w:color="auto" w:fill="F4F7FB"/>
          </w:tcPr>
          <w:p>
            <w:r/>
            <w:r>
              <w:rPr>
                <w:rFonts w:ascii="Calibri" w:hAnsi="Calibri"/>
                <w:sz w:val="20"/>
              </w:rPr>
              <w:t>$262</w:t>
            </w:r>
          </w:p>
        </w:tc>
        <w:tc>
          <w:tcPr>
            <w:tcW w:type="dxa" w:w="1872"/>
            <w:shd w:val="clear" w:color="auto" w:fill="F4F7FB"/>
          </w:tcPr>
          <w:p>
            <w:r/>
            <w:r>
              <w:rPr>
                <w:rFonts w:ascii="Calibri" w:hAnsi="Calibri"/>
                <w:sz w:val="20"/>
              </w:rPr>
              <w:t>Base</w:t>
            </w:r>
          </w:p>
        </w:tc>
      </w:tr>
      <w:tr>
        <w:tc>
          <w:tcPr>
            <w:tcW w:type="dxa" w:w="2736"/>
          </w:tcPr>
          <w:p>
            <w:r/>
            <w:r>
              <w:rPr>
                <w:rFonts w:ascii="Calibri" w:hAnsi="Calibri"/>
                <w:sz w:val="20"/>
              </w:rPr>
              <w:t>$32.0B (Bull-Base)</w:t>
            </w:r>
          </w:p>
        </w:tc>
        <w:tc>
          <w:tcPr>
            <w:tcW w:type="dxa" w:w="2736"/>
          </w:tcPr>
          <w:p>
            <w:r/>
            <w:r>
              <w:rPr>
                <w:rFonts w:ascii="Calibri" w:hAnsi="Calibri"/>
                <w:sz w:val="20"/>
              </w:rPr>
              <w:t>$16.40</w:t>
            </w:r>
          </w:p>
        </w:tc>
        <w:tc>
          <w:tcPr>
            <w:tcW w:type="dxa" w:w="2160"/>
          </w:tcPr>
          <w:p>
            <w:r/>
            <w:r>
              <w:rPr>
                <w:rFonts w:ascii="Calibri" w:hAnsi="Calibri"/>
                <w:sz w:val="20"/>
              </w:rPr>
              <w:t>$271</w:t>
            </w:r>
          </w:p>
        </w:tc>
        <w:tc>
          <w:tcPr>
            <w:tcW w:type="dxa" w:w="1872"/>
          </w:tcPr>
          <w:p>
            <w:r/>
            <w:r>
              <w:rPr>
                <w:rFonts w:ascii="Calibri" w:hAnsi="Calibri"/>
                <w:sz w:val="20"/>
              </w:rPr>
              <w:t>+$9</w:t>
            </w:r>
          </w:p>
        </w:tc>
      </w:tr>
      <w:tr>
        <w:tc>
          <w:tcPr>
            <w:tcW w:type="dxa" w:w="2736"/>
            <w:shd w:val="clear" w:color="auto" w:fill="F4F7FB"/>
          </w:tcPr>
          <w:p>
            <w:r/>
            <w:r>
              <w:rPr>
                <w:rFonts w:ascii="Calibri" w:hAnsi="Calibri"/>
                <w:sz w:val="20"/>
              </w:rPr>
              <w:t>$34.0B (Bull)</w:t>
            </w:r>
          </w:p>
        </w:tc>
        <w:tc>
          <w:tcPr>
            <w:tcW w:type="dxa" w:w="2736"/>
            <w:shd w:val="clear" w:color="auto" w:fill="F4F7FB"/>
          </w:tcPr>
          <w:p>
            <w:r/>
            <w:r>
              <w:rPr>
                <w:rFonts w:ascii="Calibri" w:hAnsi="Calibri"/>
                <w:sz w:val="20"/>
              </w:rPr>
              <w:t>$16.95</w:t>
            </w:r>
          </w:p>
        </w:tc>
        <w:tc>
          <w:tcPr>
            <w:tcW w:type="dxa" w:w="2160"/>
            <w:shd w:val="clear" w:color="auto" w:fill="F4F7FB"/>
          </w:tcPr>
          <w:p>
            <w:r/>
            <w:r>
              <w:rPr>
                <w:rFonts w:ascii="Calibri" w:hAnsi="Calibri"/>
                <w:sz w:val="20"/>
              </w:rPr>
              <w:t>$280</w:t>
            </w:r>
          </w:p>
        </w:tc>
        <w:tc>
          <w:tcPr>
            <w:tcW w:type="dxa" w:w="1872"/>
            <w:shd w:val="clear" w:color="auto" w:fill="F4F7FB"/>
          </w:tcPr>
          <w:p>
            <w:r/>
            <w:r>
              <w:rPr>
                <w:rFonts w:ascii="Calibri" w:hAnsi="Calibri"/>
                <w:sz w:val="20"/>
              </w:rPr>
              <w:t>+$18</w:t>
            </w:r>
          </w:p>
        </w:tc>
      </w:tr>
      <w:tr>
        <w:tc>
          <w:tcPr>
            <w:tcW w:type="dxa" w:w="2736"/>
          </w:tcPr>
          <w:p>
            <w:r/>
            <w:r>
              <w:rPr>
                <w:rFonts w:ascii="Calibri" w:hAnsi="Calibri"/>
                <w:sz w:val="20"/>
              </w:rPr>
              <w:t>$36.0B (High Bull)</w:t>
            </w:r>
          </w:p>
        </w:tc>
        <w:tc>
          <w:tcPr>
            <w:tcW w:type="dxa" w:w="2736"/>
          </w:tcPr>
          <w:p>
            <w:r/>
            <w:r>
              <w:rPr>
                <w:rFonts w:ascii="Calibri" w:hAnsi="Calibri"/>
                <w:sz w:val="20"/>
              </w:rPr>
              <w:t>$17.50</w:t>
            </w:r>
          </w:p>
        </w:tc>
        <w:tc>
          <w:tcPr>
            <w:tcW w:type="dxa" w:w="2160"/>
          </w:tcPr>
          <w:p>
            <w:r/>
            <w:r>
              <w:rPr>
                <w:rFonts w:ascii="Calibri" w:hAnsi="Calibri"/>
                <w:sz w:val="20"/>
              </w:rPr>
              <w:t>$289</w:t>
            </w:r>
          </w:p>
        </w:tc>
        <w:tc>
          <w:tcPr>
            <w:tcW w:type="dxa" w:w="1872"/>
          </w:tcPr>
          <w:p>
            <w:r/>
            <w:r>
              <w:rPr>
                <w:rFonts w:ascii="Calibri" w:hAnsi="Calibri"/>
                <w:sz w:val="20"/>
              </w:rPr>
              <w:t>+$27</w:t>
            </w:r>
          </w:p>
        </w:tc>
      </w:tr>
    </w:tbl>
    <w:p>
      <w:r>
        <w:br w:type="page"/>
      </w:r>
    </w:p>
    <w:p>
      <w:pPr>
        <w:spacing w:before="200" w:after="80"/>
      </w:pPr>
      <w:r>
        <w:rPr>
          <w:rFonts w:ascii="Calibri" w:hAnsi="Calibri"/>
          <w:b/>
          <w:color w:val="0B2C5C"/>
          <w:sz w:val="28"/>
        </w:rPr>
        <w:t>Catalysts (Next 90 Days)</w:t>
      </w:r>
    </w:p>
    <w:p>
      <w:pPr>
        <w:pStyle w:val="ListBullet"/>
        <w:spacing w:after="40"/>
      </w:pPr>
      <w:r>
        <w:rPr>
          <w:rFonts w:ascii="Calibri" w:hAnsi="Calibri"/>
          <w:sz w:val="21"/>
        </w:rPr>
        <w:t>Q2 2026 earnings release (expected late July 2026): focus on whether Skyrizi sustains its $4.5B+ quarterly run-rate and whether Rinvoq IBD share gains continue to compound.</w:t>
      </w:r>
    </w:p>
    <w:p>
      <w:pPr>
        <w:pStyle w:val="ListBullet"/>
        <w:spacing w:after="40"/>
      </w:pPr>
      <w:r>
        <w:rPr>
          <w:rFonts w:ascii="Calibri" w:hAnsi="Calibri"/>
          <w:sz w:val="21"/>
        </w:rPr>
        <w:t>Tavapadon (Cerevel) Phase 3 readouts in Parkinson's disease (expected 2H 2026 / 1H 2027): adverse data would compress the Cerevel acquisition multiple; positive data would unlock $3-5B peak sales optionality.</w:t>
      </w:r>
    </w:p>
    <w:p>
      <w:pPr>
        <w:pStyle w:val="ListBullet"/>
        <w:spacing w:after="40"/>
      </w:pPr>
      <w:r>
        <w:rPr>
          <w:rFonts w:ascii="Calibri" w:hAnsi="Calibri"/>
          <w:sz w:val="21"/>
        </w:rPr>
        <w:t>ASCO 2026 (June): updates on Elahere expansion data, Epkinly in lymphoma, and the next-generation oncology ADC pipeline - read on whether oncology can return to growth in 2027.</w:t>
      </w:r>
    </w:p>
    <w:p>
      <w:pPr>
        <w:pStyle w:val="ListBullet"/>
        <w:spacing w:after="40"/>
      </w:pPr>
      <w:r>
        <w:rPr>
          <w:rFonts w:ascii="Calibri" w:hAnsi="Calibri"/>
          <w:sz w:val="21"/>
        </w:rPr>
        <w:t>European Academy of Dermatology and Venereology (EADV) Congress (September): Skyrizi/Rinvoq long-term outcomes data will support payer access and label expansion narratives.</w:t>
      </w:r>
    </w:p>
    <w:p>
      <w:pPr>
        <w:pStyle w:val="ListBullet"/>
        <w:spacing w:after="40"/>
      </w:pPr>
      <w:r>
        <w:rPr>
          <w:rFonts w:ascii="Calibri" w:hAnsi="Calibri"/>
          <w:sz w:val="21"/>
        </w:rPr>
        <w:t>FDA / EMA regulatory milestones: multiple line extensions and new indication filings expected over the summer, including Rinvoq in additional inflammatory and autoimmune indications.</w:t>
      </w:r>
    </w:p>
    <w:p>
      <w:pPr>
        <w:pStyle w:val="ListBullet"/>
        <w:spacing w:after="40"/>
      </w:pPr>
      <w:r>
        <w:rPr>
          <w:rFonts w:ascii="Calibri" w:hAnsi="Calibri"/>
          <w:sz w:val="21"/>
        </w:rPr>
        <w:t>IRA Medicare drug pricing announcement (expected mid-2026): identifying which of AbbVie's products may be in the next negotiation tranche - a key overhang to handicap.</w:t>
      </w:r>
    </w:p>
    <w:p>
      <w:pPr>
        <w:spacing w:before="200" w:after="80"/>
      </w:pPr>
      <w:r>
        <w:rPr>
          <w:rFonts w:ascii="Calibri" w:hAnsi="Calibri"/>
          <w:b/>
          <w:color w:val="0B2C5C"/>
          <w:sz w:val="28"/>
        </w:rPr>
        <w:t>Recommendation</w:t>
      </w:r>
    </w:p>
    <w:p>
      <w:pPr>
        <w:spacing w:after="80"/>
      </w:pPr>
      <w:r>
        <w:rPr>
          <w:rFonts w:ascii="Calibri" w:hAnsi="Calibri"/>
          <w:b/>
          <w:i w:val="0"/>
          <w:sz w:val="21"/>
        </w:rPr>
        <w:t>Reiterate BUY with a raised 12-month price target of $255 (from $235), implying ~19% capital upside plus a ~3.5% dividend yield for total return of ~22%. Q1 2026 was the most consequential print of the post-Humira era for AbbVie: Skyrizi delivered $4.48B in a single quarter (+30.9%), Rinvoq put up $2.12B (+23.3%), neuroscience grew 26%, and management raised both revenue and EPS guidance for the year. The 'New AbbVie' is now a clean, high-growth, high-FCF pharma franchise with two of the largest drugs in the industry, a fast-growing neuroscience second leg, and a 54-year combined dividend track record. We expect consensus 2026 EPS to migrate toward $14.25-$14.30 over the next 60 days and 2027 EPS revisions to follow as the Street fully credits the Skyrizi/Rinvoq trajectory. ABBV remains our top high-conviction pharma name with the cleanest post-LOE growth path and the most credible re-rating optionality in the group.</w:t>
      </w:r>
    </w:p>
    <w:p>
      <w:pPr>
        <w:pBdr>
          <w:bottom w:val="single" w:sz="8" w:space="1" w:color="0B2C5C"/>
        </w:pBdr>
      </w:pPr>
    </w:p>
    <w:p>
      <w:pPr>
        <w:spacing w:before="200" w:after="80"/>
      </w:pPr>
      <w:r>
        <w:rPr>
          <w:rFonts w:ascii="Calibri" w:hAnsi="Calibri"/>
          <w:b/>
          <w:color w:val="0B2C5C"/>
          <w:sz w:val="28"/>
        </w:rPr>
        <w:t>Sources</w:t>
      </w:r>
    </w:p>
    <w:p>
      <w:pPr>
        <w:pStyle w:val="ListBullet"/>
        <w:spacing w:after="40"/>
      </w:pPr>
      <w:r>
        <w:rPr>
          <w:rFonts w:ascii="Calibri" w:hAnsi="Calibri"/>
          <w:sz w:val="20"/>
        </w:rPr>
        <w:t xml:space="preserve">AbbVie - Q1 2026 Earnings Press Release (April 29, 2026) - </w:t>
      </w:r>
      <w:hyperlink r:id="rId9">
        <w:r>
          <w:rPr>
            <w:rFonts w:ascii="Calibri"/>
            <w:sz w:val="20"/>
            <w:color w:val="1F4FB8"/>
            <w:u w:val="single"/>
          </w:rPr>
          <w:t>https://news.abbvie.com/2026-04-29-AbbVie-Reports-First-Quarter-2026-Financial-Results</w:t>
        </w:r>
      </w:hyperlink>
    </w:p>
    <w:p>
      <w:pPr>
        <w:pStyle w:val="ListBullet"/>
        <w:spacing w:after="40"/>
      </w:pPr>
      <w:r>
        <w:rPr>
          <w:rFonts w:ascii="Calibri" w:hAnsi="Calibri"/>
          <w:sz w:val="20"/>
        </w:rPr>
        <w:t xml:space="preserve">AbbVie - Q1 2026 Financial Results (Investor Relations) - </w:t>
      </w:r>
      <w:hyperlink r:id="rId10">
        <w:r>
          <w:rPr>
            <w:rFonts w:ascii="Calibri"/>
            <w:sz w:val="20"/>
            <w:color w:val="1F4FB8"/>
            <w:u w:val="single"/>
          </w:rPr>
          <w:t>https://investors.abbvie.com/news-releases/news-release-details/abbvie-reports-first-quarter-2026-financial-results</w:t>
        </w:r>
      </w:hyperlink>
    </w:p>
    <w:p>
      <w:pPr>
        <w:pStyle w:val="ListBullet"/>
        <w:spacing w:after="40"/>
      </w:pPr>
      <w:r>
        <w:rPr>
          <w:rFonts w:ascii="Calibri" w:hAnsi="Calibri"/>
          <w:sz w:val="20"/>
        </w:rPr>
        <w:t xml:space="preserve">AbbVie - Q1 2026 Form 10-Q (SEC EDGAR) - </w:t>
      </w:r>
      <w:hyperlink r:id="rId11">
        <w:r>
          <w:rPr>
            <w:rFonts w:ascii="Calibri"/>
            <w:sz w:val="20"/>
            <w:color w:val="1F4FB8"/>
            <w:u w:val="single"/>
          </w:rPr>
          <w:t>https://www.sec.gov/cgi-bin/browse-edgar?action=getcompany&amp;CIK=0001551152&amp;type=10-Q&amp;dateb=&amp;owner=include&amp;count=40</w:t>
        </w:r>
      </w:hyperlink>
    </w:p>
    <w:p>
      <w:pPr>
        <w:pStyle w:val="ListBullet"/>
        <w:spacing w:after="40"/>
      </w:pPr>
      <w:r>
        <w:rPr>
          <w:rFonts w:ascii="Calibri" w:hAnsi="Calibri"/>
          <w:sz w:val="20"/>
        </w:rPr>
        <w:t xml:space="preserve">AbbVie Investor Relations - Financial Releases - </w:t>
      </w:r>
      <w:hyperlink r:id="rId12">
        <w:r>
          <w:rPr>
            <w:rFonts w:ascii="Calibri"/>
            <w:sz w:val="20"/>
            <w:color w:val="1F4FB8"/>
            <w:u w:val="single"/>
          </w:rPr>
          <w:t>https://investors.abbvie.com/financial-releases</w:t>
        </w:r>
      </w:hyperlink>
    </w:p>
    <w:p>
      <w:pPr>
        <w:pStyle w:val="ListBullet"/>
        <w:spacing w:after="40"/>
      </w:pPr>
      <w:r>
        <w:rPr>
          <w:rFonts w:ascii="Calibri" w:hAnsi="Calibri"/>
          <w:sz w:val="20"/>
        </w:rPr>
        <w:t xml:space="preserve">Benzinga - AbbVie Q1 2026 Earnings Call Complete Transcript - </w:t>
      </w:r>
      <w:hyperlink r:id="rId13">
        <w:r>
          <w:rPr>
            <w:rFonts w:ascii="Calibri"/>
            <w:sz w:val="20"/>
            <w:color w:val="1F4FB8"/>
            <w:u w:val="single"/>
          </w:rPr>
          <w:t>https://www.benzinga.com/insights/news/26/04/52133065/abbvie-q1-2026-earnings-call-complete-transcript</w:t>
        </w:r>
      </w:hyperlink>
    </w:p>
    <w:p>
      <w:pPr>
        <w:pStyle w:val="ListBullet"/>
        <w:spacing w:after="40"/>
      </w:pPr>
      <w:r>
        <w:rPr>
          <w:rFonts w:ascii="Calibri" w:hAnsi="Calibri"/>
          <w:sz w:val="20"/>
        </w:rPr>
        <w:t xml:space="preserve">The Motley Fool - AbbVie (ABBV) Q1 2026 Earnings Transcript - </w:t>
      </w:r>
      <w:hyperlink r:id="rId14">
        <w:r>
          <w:rPr>
            <w:rFonts w:ascii="Calibri"/>
            <w:sz w:val="20"/>
            <w:color w:val="1F4FB8"/>
            <w:u w:val="single"/>
          </w:rPr>
          <w:t>https://www.fool.com/earnings/call-transcripts/2026/04/29/abbvie-abbv-q1-2026-earnings-transcript/</w:t>
        </w:r>
      </w:hyperlink>
    </w:p>
    <w:p>
      <w:pPr>
        <w:pStyle w:val="ListBullet"/>
        <w:spacing w:after="40"/>
      </w:pPr>
      <w:r>
        <w:rPr>
          <w:rFonts w:ascii="Calibri" w:hAnsi="Calibri"/>
          <w:sz w:val="20"/>
        </w:rPr>
        <w:t xml:space="preserve">Investing.com - AbbVie Q1 2026 Earnings Call Transcript - </w:t>
      </w:r>
      <w:hyperlink r:id="rId15">
        <w:r>
          <w:rPr>
            <w:rFonts w:ascii="Calibri"/>
            <w:sz w:val="20"/>
            <w:color w:val="1F4FB8"/>
            <w:u w:val="single"/>
          </w:rPr>
          <w:t>https://www.investing.com/news/transcripts/earnings-call-transcript-abbvie-q1-2026-beats-expectations-stock-dips-93CH-4645829</w:t>
        </w:r>
      </w:hyperlink>
    </w:p>
    <w:p>
      <w:pPr>
        <w:pStyle w:val="ListBullet"/>
        <w:spacing w:after="40"/>
      </w:pPr>
      <w:r>
        <w:rPr>
          <w:rFonts w:ascii="Calibri" w:hAnsi="Calibri"/>
          <w:sz w:val="20"/>
        </w:rPr>
        <w:t xml:space="preserve">AbbVie - Q1 2026 Press Release on PR Newswire - </w:t>
      </w:r>
      <w:hyperlink r:id="rId16">
        <w:r>
          <w:rPr>
            <w:rFonts w:ascii="Calibri"/>
            <w:sz w:val="20"/>
            <w:color w:val="1F4FB8"/>
            <w:u w:val="single"/>
          </w:rPr>
          <w:t>https://www.prnewswire.com/news-releases/abbvie-reports-first-quarter-2026-financial-results-302757172.html</w:t>
        </w:r>
      </w:hyperlink>
    </w:p>
    <w:p>
      <w:pPr>
        <w:pBdr>
          <w:bottom w:val="single" w:sz="8" w:space="1" w:color="0B2C5C"/>
        </w:pBdr>
      </w:pPr>
    </w:p>
    <w:p>
      <w:pPr>
        <w:spacing w:after="80"/>
      </w:pPr>
      <w:r>
        <w:rPr>
          <w:rFonts w:ascii="Calibri" w:hAnsi="Calibri"/>
          <w:b w:val="0"/>
          <w:i/>
          <w:color w:val="555F6B"/>
          <w:sz w:val="17"/>
        </w:rPr>
        <w:t>DISCLAIMER: This report is produced by Finance Index, an AI-assisted equity research blog. It is for informational and educational purposes only and does not constitute investment advice, an offer to buy or sell any security, or a solicitation of any kind. Estimates, price targets, and ratings reflect the author's opinions as of the report date and are subject to change without notice. Always do your own research and consult a licensed financial advisor before making investment decisions. The author may hold positions in securities discussed.</w:t>
      </w:r>
    </w:p>
    <w:sectPr w:rsidR="00FC693F" w:rsidRPr="0006063C" w:rsidSect="00034616">
      <w:pgSz w:w="12240" w:h="15840"/>
      <w:pgMar w:top="1008"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news.abbvie.com/2026-04-29-AbbVie-Reports-First-Quarter-2026-Financial-Results" TargetMode="External"/><Relationship Id="rId10" Type="http://schemas.openxmlformats.org/officeDocument/2006/relationships/hyperlink" Target="https://investors.abbvie.com/news-releases/news-release-details/abbvie-reports-first-quarter-2026-financial-results" TargetMode="External"/><Relationship Id="rId11" Type="http://schemas.openxmlformats.org/officeDocument/2006/relationships/hyperlink" Target="https://www.sec.gov/cgi-bin/browse-edgar?action=getcompany&amp;CIK=0001551152&amp;type=10-Q&amp;dateb=&amp;owner=include&amp;count=40" TargetMode="External"/><Relationship Id="rId12" Type="http://schemas.openxmlformats.org/officeDocument/2006/relationships/hyperlink" Target="https://investors.abbvie.com/financial-releases" TargetMode="External"/><Relationship Id="rId13" Type="http://schemas.openxmlformats.org/officeDocument/2006/relationships/hyperlink" Target="https://www.benzinga.com/insights/news/26/04/52133065/abbvie-q1-2026-earnings-call-complete-transcript" TargetMode="External"/><Relationship Id="rId14" Type="http://schemas.openxmlformats.org/officeDocument/2006/relationships/hyperlink" Target="https://www.fool.com/earnings/call-transcripts/2026/04/29/abbvie-abbv-q1-2026-earnings-transcript/" TargetMode="External"/><Relationship Id="rId15" Type="http://schemas.openxmlformats.org/officeDocument/2006/relationships/hyperlink" Target="https://www.investing.com/news/transcripts/earnings-call-transcript-abbvie-q1-2026-beats-expectations-stock-dips-93CH-4645829" TargetMode="External"/><Relationship Id="rId16" Type="http://schemas.openxmlformats.org/officeDocument/2006/relationships/hyperlink" Target="https://www.prnewswire.com/news-releases/abbvie-reports-first-quarter-2026-financial-results-30275717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