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0B2C5C"/>
          <w:sz w:val="40"/>
        </w:rPr>
        <w:t>Amgen Inc. (NASDAQ: AMGN)</w:t>
      </w:r>
    </w:p>
    <w:p>
      <w:r>
        <w:rPr>
          <w:i/>
          <w:color w:val="555F6B"/>
          <w:sz w:val="24"/>
        </w:rPr>
        <w:t>Q1 2026 Earnings Update  |  Large-Cap Biopharma</w:t>
      </w:r>
    </w:p>
    <w:p>
      <w:pPr>
        <w:pBdr>
          <w:bottom w:val="single" w:sz="8" w:space="1" w:color="0B2C5C"/>
        </w:pBdr>
      </w:pPr>
    </w:p>
    <w:tbl>
      <w:tblPr>
        <w:tblW w:type="auto" w:w="0"/>
        <w:tblLayout w:type="fixed"/>
        <w:tblLook w:firstColumn="1" w:firstRow="1" w:lastColumn="0" w:lastRow="0" w:noHBand="0" w:noVBand="1" w:val="04A0"/>
      </w:tblPr>
      <w:tblGrid>
        <w:gridCol w:w="2484"/>
        <w:gridCol w:w="2484"/>
        <w:gridCol w:w="2484"/>
        <w:gridCol w:w="2484"/>
      </w:tblGrid>
      <w:tr>
        <w:tc>
          <w:tcPr>
            <w:tcW w:type="dxa" w:w="2520"/>
            <w:shd w:val="clear" w:color="auto" w:fill="0B2C5C"/>
          </w:tcPr>
          <w:p>
            <w:pPr>
              <w:jc w:val="center"/>
            </w:pPr>
            <w:r/>
            <w:r>
              <w:rPr>
                <w:rFonts w:ascii="Calibri" w:hAnsi="Calibri"/>
                <w:color w:val="C8D4E6"/>
                <w:sz w:val="18"/>
              </w:rPr>
              <w:t>Rating</w:t>
            </w:r>
          </w:p>
          <w:p>
            <w:pPr>
              <w:jc w:val="center"/>
            </w:pPr>
            <w:r>
              <w:rPr>
                <w:rFonts w:ascii="Calibri" w:hAnsi="Calibri"/>
                <w:b/>
                <w:color w:val="FFFFFF"/>
                <w:sz w:val="26"/>
              </w:rPr>
              <w:t>BUY</w:t>
            </w:r>
          </w:p>
        </w:tc>
        <w:tc>
          <w:tcPr>
            <w:tcW w:type="dxa" w:w="2520"/>
            <w:shd w:val="clear" w:color="auto" w:fill="0B2C5C"/>
          </w:tcPr>
          <w:p>
            <w:pPr>
              <w:jc w:val="center"/>
            </w:pPr>
            <w:r/>
            <w:r>
              <w:rPr>
                <w:rFonts w:ascii="Calibri" w:hAnsi="Calibri"/>
                <w:color w:val="C8D4E6"/>
                <w:sz w:val="18"/>
              </w:rPr>
              <w:t>Price Target</w:t>
            </w:r>
          </w:p>
          <w:p>
            <w:pPr>
              <w:jc w:val="center"/>
            </w:pPr>
            <w:r>
              <w:rPr>
                <w:rFonts w:ascii="Calibri" w:hAnsi="Calibri"/>
                <w:b/>
                <w:color w:val="FFFFFF"/>
                <w:sz w:val="26"/>
              </w:rPr>
              <w:t>$385 (from $345)</w:t>
            </w:r>
          </w:p>
        </w:tc>
        <w:tc>
          <w:tcPr>
            <w:tcW w:type="dxa" w:w="2520"/>
            <w:shd w:val="clear" w:color="auto" w:fill="0B2C5C"/>
          </w:tcPr>
          <w:p>
            <w:pPr>
              <w:jc w:val="center"/>
            </w:pPr>
            <w:r/>
            <w:r>
              <w:rPr>
                <w:rFonts w:ascii="Calibri" w:hAnsi="Calibri"/>
                <w:color w:val="C8D4E6"/>
                <w:sz w:val="18"/>
              </w:rPr>
              <w:t>Current Price</w:t>
            </w:r>
          </w:p>
          <w:p>
            <w:pPr>
              <w:jc w:val="center"/>
            </w:pPr>
            <w:r>
              <w:rPr>
                <w:rFonts w:ascii="Calibri" w:hAnsi="Calibri"/>
                <w:b/>
                <w:color w:val="FFFFFF"/>
                <w:sz w:val="26"/>
              </w:rPr>
              <w:t>~$355</w:t>
            </w:r>
          </w:p>
        </w:tc>
        <w:tc>
          <w:tcPr>
            <w:tcW w:type="dxa" w:w="2520"/>
            <w:shd w:val="clear" w:color="auto" w:fill="0B2C5C"/>
          </w:tcPr>
          <w:p>
            <w:pPr>
              <w:jc w:val="center"/>
            </w:pPr>
            <w:r/>
            <w:r>
              <w:rPr>
                <w:rFonts w:ascii="Calibri" w:hAnsi="Calibri"/>
                <w:color w:val="C8D4E6"/>
                <w:sz w:val="18"/>
              </w:rPr>
              <w:t>Implied Return</w:t>
            </w:r>
          </w:p>
          <w:p>
            <w:pPr>
              <w:jc w:val="center"/>
            </w:pPr>
            <w:r>
              <w:rPr>
                <w:rFonts w:ascii="Calibri" w:hAnsi="Calibri"/>
                <w:b/>
                <w:color w:val="FFFFFF"/>
                <w:sz w:val="26"/>
              </w:rPr>
              <w:t>+10.1%</w:t>
            </w:r>
          </w:p>
        </w:tc>
      </w:tr>
    </w:tbl>
    <w:p>
      <w:pPr>
        <w:spacing w:after="80"/>
      </w:pPr>
      <w:r>
        <w:rPr>
          <w:rFonts w:ascii="Calibri" w:hAnsi="Calibri"/>
          <w:b w:val="0"/>
          <w:i/>
          <w:color w:val="555F6B"/>
          <w:sz w:val="18"/>
        </w:rPr>
        <w:t>Report date: May 2, 2026  |  Earnings released: April 30, 2026  |  Analyst: Finance Index Research</w:t>
      </w:r>
    </w:p>
    <w:p>
      <w:pPr>
        <w:spacing w:before="200" w:after="80"/>
      </w:pPr>
      <w:r>
        <w:rPr>
          <w:rFonts w:ascii="Calibri" w:hAnsi="Calibri"/>
          <w:b/>
          <w:color w:val="0B2C5C"/>
          <w:sz w:val="28"/>
        </w:rPr>
        <w:t>Executive Summary</w:t>
      </w:r>
    </w:p>
    <w:p>
      <w:pPr>
        <w:spacing w:after="80"/>
      </w:pPr>
      <w:r>
        <w:rPr>
          <w:rFonts w:ascii="Calibri" w:hAnsi="Calibri"/>
          <w:b w:val="0"/>
          <w:i w:val="0"/>
          <w:sz w:val="21"/>
        </w:rPr>
        <w:t>Amgen delivered a high-quality Q1 2026 print that, in our view, validates the franchise's ability to grow through the IRA Medicare price-setting cycle and the Prolia biosimilar entry while simultaneously funding the largest pipeline investment program in the company's history. Total revenue of $8.62B (+6% YoY) beat consensus of $8.58B, with non-GAAP EPS of $5.15 beating the $4.78 Street estimate by ~8% and GAAP EPS of $3.34 ahead of the $3.07 estimate by 9%. Six growth pillars - Repatha (+34%), Evenity (+27%), TEPEZZA (+29%), UPLIZNA (+188%), IMDELLTRA (+219%), and the biosimilar portfolio (+35%) - more than absorbed the headline drags from Enbrel (-37%, IRA pricing) and Prolia (-34%, biosimilar competition). Management raised full-year 2026 revenue guidance to $37.1-$38.5B (midpoint $37.8B, ~$0.6B above prior) and non-GAAP EPS to $21.70-$23.10 (midpoint $22.40). Free cash flow of $1.5B was up 50% YoY. We raise our 12-month price target to $385 (from $345) - 17.0x our 2026E non-GAAP EPS of $22.65 - and reiterate BUY. The MariTide obesity readout track and the ramp of next-generation oncology assets (IMDELLTRA, BLINCYTO subQ) keep AMGN among our highest-conviction late-cycle pharma names.</w:t>
      </w:r>
    </w:p>
    <w:p>
      <w:pPr>
        <w:spacing w:before="120" w:after="40"/>
      </w:pPr>
      <w:r>
        <w:rPr>
          <w:rFonts w:ascii="Calibri" w:hAnsi="Calibri"/>
          <w:b/>
          <w:color w:val="0B2C5C"/>
          <w:sz w:val="22"/>
        </w:rPr>
        <w:t>Key Takeaways</w:t>
      </w:r>
    </w:p>
    <w:p>
      <w:pPr>
        <w:pStyle w:val="ListBullet"/>
        <w:spacing w:after="40"/>
      </w:pPr>
      <w:r>
        <w:rPr>
          <w:rFonts w:ascii="Calibri" w:hAnsi="Calibri"/>
          <w:b/>
          <w:sz w:val="21"/>
        </w:rPr>
        <w:t>Top- and bottom-line beat:</w:t>
      </w:r>
      <w:r>
        <w:rPr>
          <w:rFonts w:ascii="Calibri" w:hAnsi="Calibri"/>
          <w:sz w:val="21"/>
        </w:rPr>
        <w:t xml:space="preserve"> Revenue $8.62B beat consensus by ~$40M; non-GAAP EPS $5.15 beat by ~$0.37 (+8%) on operating leverage and lower share count.</w:t>
      </w:r>
    </w:p>
    <w:p>
      <w:pPr>
        <w:pStyle w:val="ListBullet"/>
        <w:spacing w:after="40"/>
      </w:pPr>
      <w:r>
        <w:rPr>
          <w:rFonts w:ascii="Calibri" w:hAnsi="Calibri"/>
          <w:b/>
          <w:sz w:val="21"/>
        </w:rPr>
        <w:t>Volume-driven growth:</w:t>
      </w:r>
      <w:r>
        <w:rPr>
          <w:rFonts w:ascii="Calibri" w:hAnsi="Calibri"/>
          <w:sz w:val="21"/>
        </w:rPr>
        <w:t xml:space="preserve"> Volume +9% globally was the primary growth driver; net selling price was a 2% headwind reflecting IRA Part D price-setting and 340B mix.</w:t>
      </w:r>
    </w:p>
    <w:p>
      <w:pPr>
        <w:pStyle w:val="ListBullet"/>
        <w:spacing w:after="40"/>
      </w:pPr>
      <w:r>
        <w:rPr>
          <w:rFonts w:ascii="Calibri" w:hAnsi="Calibri"/>
          <w:b/>
          <w:sz w:val="21"/>
        </w:rPr>
        <w:t>Guidance raised:</w:t>
      </w:r>
      <w:r>
        <w:rPr>
          <w:rFonts w:ascii="Calibri" w:hAnsi="Calibri"/>
          <w:sz w:val="21"/>
        </w:rPr>
        <w:t xml:space="preserve"> FY26 revenue raised to $37.1-$38.5B (midpoint $37.8B, prior ~$37.2B); non-GAAP EPS raised to $21.70-$23.10 (midpoint $22.40).</w:t>
      </w:r>
    </w:p>
    <w:p>
      <w:pPr>
        <w:pStyle w:val="ListBullet"/>
        <w:spacing w:after="40"/>
      </w:pPr>
      <w:r>
        <w:rPr>
          <w:rFonts w:ascii="Calibri" w:hAnsi="Calibri"/>
          <w:b/>
          <w:sz w:val="21"/>
        </w:rPr>
        <w:t>Repatha breakout:</w:t>
      </w:r>
      <w:r>
        <w:rPr>
          <w:rFonts w:ascii="Calibri" w:hAnsi="Calibri"/>
          <w:sz w:val="21"/>
        </w:rPr>
        <w:t xml:space="preserve"> Repatha $876M (+34%) is now annualizing above $3.5B; volume +35% on cardiovascular guideline expansion and lower co-pay support.</w:t>
      </w:r>
    </w:p>
    <w:p>
      <w:pPr>
        <w:pStyle w:val="ListBullet"/>
        <w:spacing w:after="40"/>
      </w:pPr>
      <w:r>
        <w:rPr>
          <w:rFonts w:ascii="Calibri" w:hAnsi="Calibri"/>
          <w:b/>
          <w:sz w:val="21"/>
        </w:rPr>
        <w:t>Biosimilars accelerating:</w:t>
      </w:r>
      <w:r>
        <w:rPr>
          <w:rFonts w:ascii="Calibri" w:hAnsi="Calibri"/>
          <w:sz w:val="21"/>
        </w:rPr>
        <w:t xml:space="preserve"> Biosimilar portfolio $735M (+35%) led by PAVBLU $280M (Eylea biosimilar) - Amgen has emerged as the U.S. biosimilar share leader.</w:t>
      </w:r>
    </w:p>
    <w:p>
      <w:pPr>
        <w:pStyle w:val="ListBullet"/>
        <w:spacing w:after="40"/>
      </w:pPr>
      <w:r>
        <w:rPr>
          <w:rFonts w:ascii="Calibri" w:hAnsi="Calibri"/>
          <w:b/>
          <w:sz w:val="21"/>
        </w:rPr>
        <w:t>LOE/IRA absorbed:</w:t>
      </w:r>
      <w:r>
        <w:rPr>
          <w:rFonts w:ascii="Calibri" w:hAnsi="Calibri"/>
          <w:sz w:val="21"/>
        </w:rPr>
        <w:t xml:space="preserve"> Enbrel -37% to $320M and Prolia -34% to $727M reflect IRA Medicare price-setting (effective Jan 1, 2026) and Prolia biosimilar entry.</w:t>
      </w:r>
    </w:p>
    <w:p>
      <w:pPr>
        <w:pStyle w:val="ListBullet"/>
        <w:spacing w:after="40"/>
      </w:pPr>
      <w:r>
        <w:rPr>
          <w:rFonts w:ascii="Calibri" w:hAnsi="Calibri"/>
          <w:b/>
          <w:sz w:val="21"/>
        </w:rPr>
        <w:t>Margin &amp; cash flow:</w:t>
      </w:r>
      <w:r>
        <w:rPr>
          <w:rFonts w:ascii="Calibri" w:hAnsi="Calibri"/>
          <w:sz w:val="21"/>
        </w:rPr>
        <w:t xml:space="preserve"> Non-GAAP operating margin 45.3% (within FY guide of 45-46%); free cash flow $1.5B vs $1.0B Q1'25; $12.0B cash, $57.3B debt.</w:t>
      </w:r>
    </w:p>
    <w:p>
      <w:pPr>
        <w:pStyle w:val="ListBullet"/>
        <w:spacing w:after="40"/>
      </w:pPr>
      <w:r>
        <w:rPr>
          <w:rFonts w:ascii="Calibri" w:hAnsi="Calibri"/>
          <w:b/>
          <w:sz w:val="21"/>
        </w:rPr>
        <w:t>Risks flagged:</w:t>
      </w:r>
      <w:r>
        <w:rPr>
          <w:rFonts w:ascii="Calibri" w:hAnsi="Calibri"/>
          <w:sz w:val="21"/>
        </w:rPr>
        <w:t xml:space="preserve"> Two unresolved overhangs: FDA proposed withdrawal of TAVNEOS (post-marketing liver injury reports) and IRS NOPA on 2016-18 Puerto Rico profit allocation - both potentially material if adverse.</w:t>
      </w:r>
    </w:p>
    <w:p>
      <w:pPr>
        <w:spacing w:before="120" w:after="40"/>
      </w:pPr>
      <w:r>
        <w:rPr>
          <w:rFonts w:ascii="Calibri" w:hAnsi="Calibri"/>
          <w:b/>
          <w:color w:val="0B2C5C"/>
          <w:sz w:val="22"/>
        </w:rPr>
        <w:t>Results Snapshot - Q1 2026</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448"/>
            <w:shd w:val="clear" w:color="auto" w:fill="0B2C5C"/>
          </w:tcPr>
          <w:p>
            <w:r/>
            <w:r>
              <w:rPr>
                <w:rFonts w:ascii="Calibri" w:hAnsi="Calibri"/>
                <w:b/>
                <w:color w:val="FFFFFF"/>
                <w:sz w:val="20"/>
              </w:rPr>
              <w:t>Metric</w:t>
            </w:r>
          </w:p>
        </w:tc>
        <w:tc>
          <w:tcPr>
            <w:tcW w:type="dxa" w:w="2304"/>
            <w:shd w:val="clear" w:color="auto" w:fill="0B2C5C"/>
          </w:tcPr>
          <w:p>
            <w:r/>
            <w:r>
              <w:rPr>
                <w:rFonts w:ascii="Calibri" w:hAnsi="Calibri"/>
                <w:b/>
                <w:color w:val="FFFFFF"/>
                <w:sz w:val="20"/>
              </w:rPr>
              <w:t>Q1 2026 Actual</w:t>
            </w:r>
          </w:p>
        </w:tc>
        <w:tc>
          <w:tcPr>
            <w:tcW w:type="dxa" w:w="2880"/>
            <w:shd w:val="clear" w:color="auto" w:fill="0B2C5C"/>
          </w:tcPr>
          <w:p>
            <w:r/>
            <w:r>
              <w:rPr>
                <w:rFonts w:ascii="Calibri" w:hAnsi="Calibri"/>
                <w:b/>
                <w:color w:val="FFFFFF"/>
                <w:sz w:val="20"/>
              </w:rPr>
              <w:t>Consensus / Prior</w:t>
            </w:r>
          </w:p>
        </w:tc>
        <w:tc>
          <w:tcPr>
            <w:tcW w:type="dxa" w:w="2448"/>
            <w:shd w:val="clear" w:color="auto" w:fill="0B2C5C"/>
          </w:tcPr>
          <w:p>
            <w:r/>
            <w:r>
              <w:rPr>
                <w:rFonts w:ascii="Calibri" w:hAnsi="Calibri"/>
                <w:b/>
                <w:color w:val="FFFFFF"/>
                <w:sz w:val="20"/>
              </w:rPr>
              <w:t>Variance</w:t>
            </w:r>
          </w:p>
        </w:tc>
      </w:tr>
      <w:tr>
        <w:tc>
          <w:tcPr>
            <w:tcW w:type="dxa" w:w="2448"/>
          </w:tcPr>
          <w:p>
            <w:r/>
            <w:r>
              <w:rPr>
                <w:rFonts w:ascii="Calibri" w:hAnsi="Calibri"/>
                <w:sz w:val="20"/>
              </w:rPr>
              <w:t>Revenue</w:t>
            </w:r>
          </w:p>
        </w:tc>
        <w:tc>
          <w:tcPr>
            <w:tcW w:type="dxa" w:w="2304"/>
          </w:tcPr>
          <w:p>
            <w:r/>
            <w:r>
              <w:rPr>
                <w:rFonts w:ascii="Calibri" w:hAnsi="Calibri"/>
                <w:sz w:val="20"/>
              </w:rPr>
              <w:t>$8.62B</w:t>
            </w:r>
          </w:p>
        </w:tc>
        <w:tc>
          <w:tcPr>
            <w:tcW w:type="dxa" w:w="2880"/>
          </w:tcPr>
          <w:p>
            <w:r/>
            <w:r>
              <w:rPr>
                <w:rFonts w:ascii="Calibri" w:hAnsi="Calibri"/>
                <w:sz w:val="20"/>
              </w:rPr>
              <w:t>$8.58B (cons.)</w:t>
            </w:r>
          </w:p>
        </w:tc>
        <w:tc>
          <w:tcPr>
            <w:tcW w:type="dxa" w:w="2448"/>
          </w:tcPr>
          <w:p>
            <w:r/>
            <w:r>
              <w:rPr>
                <w:rFonts w:ascii="Calibri" w:hAnsi="Calibri"/>
                <w:sz w:val="20"/>
              </w:rPr>
              <w:t>+$40M / +0.5%</w:t>
            </w:r>
          </w:p>
        </w:tc>
      </w:tr>
      <w:tr>
        <w:tc>
          <w:tcPr>
            <w:tcW w:type="dxa" w:w="2448"/>
            <w:shd w:val="clear" w:color="auto" w:fill="F4F7FB"/>
          </w:tcPr>
          <w:p>
            <w:r/>
            <w:r>
              <w:rPr>
                <w:rFonts w:ascii="Calibri" w:hAnsi="Calibri"/>
                <w:sz w:val="20"/>
              </w:rPr>
              <w:t>Total revenue growth (reported)</w:t>
            </w:r>
          </w:p>
        </w:tc>
        <w:tc>
          <w:tcPr>
            <w:tcW w:type="dxa" w:w="2304"/>
            <w:shd w:val="clear" w:color="auto" w:fill="F4F7FB"/>
          </w:tcPr>
          <w:p>
            <w:r/>
            <w:r>
              <w:rPr>
                <w:rFonts w:ascii="Calibri" w:hAnsi="Calibri"/>
                <w:sz w:val="20"/>
              </w:rPr>
              <w:t>+6%</w:t>
            </w:r>
          </w:p>
        </w:tc>
        <w:tc>
          <w:tcPr>
            <w:tcW w:type="dxa" w:w="2880"/>
            <w:shd w:val="clear" w:color="auto" w:fill="F4F7FB"/>
          </w:tcPr>
          <w:p>
            <w:r/>
            <w:r>
              <w:rPr>
                <w:rFonts w:ascii="Calibri" w:hAnsi="Calibri"/>
                <w:sz w:val="20"/>
              </w:rPr>
              <w:t>n/a</w:t>
            </w:r>
          </w:p>
        </w:tc>
        <w:tc>
          <w:tcPr>
            <w:tcW w:type="dxa" w:w="2448"/>
            <w:shd w:val="clear" w:color="auto" w:fill="F4F7FB"/>
          </w:tcPr>
          <w:p>
            <w:r/>
            <w:r>
              <w:rPr>
                <w:rFonts w:ascii="Calibri" w:hAnsi="Calibri"/>
                <w:sz w:val="20"/>
              </w:rPr>
              <w:t>Above plan</w:t>
            </w:r>
          </w:p>
        </w:tc>
      </w:tr>
      <w:tr>
        <w:tc>
          <w:tcPr>
            <w:tcW w:type="dxa" w:w="2448"/>
          </w:tcPr>
          <w:p>
            <w:r/>
            <w:r>
              <w:rPr>
                <w:rFonts w:ascii="Calibri" w:hAnsi="Calibri"/>
                <w:sz w:val="20"/>
              </w:rPr>
              <w:t>Product sales growth</w:t>
            </w:r>
          </w:p>
        </w:tc>
        <w:tc>
          <w:tcPr>
            <w:tcW w:type="dxa" w:w="2304"/>
          </w:tcPr>
          <w:p>
            <w:r/>
            <w:r>
              <w:rPr>
                <w:rFonts w:ascii="Calibri" w:hAnsi="Calibri"/>
                <w:sz w:val="20"/>
              </w:rPr>
              <w:t>+4%</w:t>
            </w:r>
          </w:p>
        </w:tc>
        <w:tc>
          <w:tcPr>
            <w:tcW w:type="dxa" w:w="2880"/>
          </w:tcPr>
          <w:p>
            <w:r/>
            <w:r>
              <w:rPr>
                <w:rFonts w:ascii="Calibri" w:hAnsi="Calibri"/>
                <w:sz w:val="20"/>
              </w:rPr>
              <w:t>n/a</w:t>
            </w:r>
          </w:p>
        </w:tc>
        <w:tc>
          <w:tcPr>
            <w:tcW w:type="dxa" w:w="2448"/>
          </w:tcPr>
          <w:p>
            <w:r/>
            <w:r>
              <w:rPr>
                <w:rFonts w:ascii="Calibri" w:hAnsi="Calibri"/>
                <w:sz w:val="20"/>
              </w:rPr>
              <w:t>Vol +9%, Px (2%), Inv (2%)</w:t>
            </w:r>
          </w:p>
        </w:tc>
      </w:tr>
      <w:tr>
        <w:tc>
          <w:tcPr>
            <w:tcW w:type="dxa" w:w="2448"/>
            <w:shd w:val="clear" w:color="auto" w:fill="F4F7FB"/>
          </w:tcPr>
          <w:p>
            <w:r/>
            <w:r>
              <w:rPr>
                <w:rFonts w:ascii="Calibri" w:hAnsi="Calibri"/>
                <w:sz w:val="20"/>
              </w:rPr>
              <w:t>GAAP EPS</w:t>
            </w:r>
          </w:p>
        </w:tc>
        <w:tc>
          <w:tcPr>
            <w:tcW w:type="dxa" w:w="2304"/>
            <w:shd w:val="clear" w:color="auto" w:fill="F4F7FB"/>
          </w:tcPr>
          <w:p>
            <w:r/>
            <w:r>
              <w:rPr>
                <w:rFonts w:ascii="Calibri" w:hAnsi="Calibri"/>
                <w:sz w:val="20"/>
              </w:rPr>
              <w:t>$3.34</w:t>
            </w:r>
          </w:p>
        </w:tc>
        <w:tc>
          <w:tcPr>
            <w:tcW w:type="dxa" w:w="2880"/>
            <w:shd w:val="clear" w:color="auto" w:fill="F4F7FB"/>
          </w:tcPr>
          <w:p>
            <w:r/>
            <w:r>
              <w:rPr>
                <w:rFonts w:ascii="Calibri" w:hAnsi="Calibri"/>
                <w:sz w:val="20"/>
              </w:rPr>
              <w:t>$3.07 (cons.)</w:t>
            </w:r>
          </w:p>
        </w:tc>
        <w:tc>
          <w:tcPr>
            <w:tcW w:type="dxa" w:w="2448"/>
            <w:shd w:val="clear" w:color="auto" w:fill="F4F7FB"/>
          </w:tcPr>
          <w:p>
            <w:r/>
            <w:r>
              <w:rPr>
                <w:rFonts w:ascii="Calibri" w:hAnsi="Calibri"/>
                <w:sz w:val="20"/>
              </w:rPr>
              <w:t>+$0.27 / +8.8%</w:t>
            </w:r>
          </w:p>
        </w:tc>
      </w:tr>
      <w:tr>
        <w:tc>
          <w:tcPr>
            <w:tcW w:type="dxa" w:w="2448"/>
          </w:tcPr>
          <w:p>
            <w:r/>
            <w:r>
              <w:rPr>
                <w:rFonts w:ascii="Calibri" w:hAnsi="Calibri"/>
                <w:sz w:val="20"/>
              </w:rPr>
              <w:t>Non-GAAP EPS</w:t>
            </w:r>
          </w:p>
        </w:tc>
        <w:tc>
          <w:tcPr>
            <w:tcW w:type="dxa" w:w="2304"/>
          </w:tcPr>
          <w:p>
            <w:r/>
            <w:r>
              <w:rPr>
                <w:rFonts w:ascii="Calibri" w:hAnsi="Calibri"/>
                <w:sz w:val="20"/>
              </w:rPr>
              <w:t>$5.15</w:t>
            </w:r>
          </w:p>
        </w:tc>
        <w:tc>
          <w:tcPr>
            <w:tcW w:type="dxa" w:w="2880"/>
          </w:tcPr>
          <w:p>
            <w:r/>
            <w:r>
              <w:rPr>
                <w:rFonts w:ascii="Calibri" w:hAnsi="Calibri"/>
                <w:sz w:val="20"/>
              </w:rPr>
              <w:t>$4.78 (cons.)</w:t>
            </w:r>
          </w:p>
        </w:tc>
        <w:tc>
          <w:tcPr>
            <w:tcW w:type="dxa" w:w="2448"/>
          </w:tcPr>
          <w:p>
            <w:r/>
            <w:r>
              <w:rPr>
                <w:rFonts w:ascii="Calibri" w:hAnsi="Calibri"/>
                <w:sz w:val="20"/>
              </w:rPr>
              <w:t>+$0.37 / +7.7%</w:t>
            </w:r>
          </w:p>
        </w:tc>
      </w:tr>
      <w:tr>
        <w:tc>
          <w:tcPr>
            <w:tcW w:type="dxa" w:w="2448"/>
            <w:shd w:val="clear" w:color="auto" w:fill="F4F7FB"/>
          </w:tcPr>
          <w:p>
            <w:r/>
            <w:r>
              <w:rPr>
                <w:rFonts w:ascii="Calibri" w:hAnsi="Calibri"/>
                <w:sz w:val="20"/>
              </w:rPr>
              <w:t>GAAP Operating Income</w:t>
            </w:r>
          </w:p>
        </w:tc>
        <w:tc>
          <w:tcPr>
            <w:tcW w:type="dxa" w:w="2304"/>
            <w:shd w:val="clear" w:color="auto" w:fill="F4F7FB"/>
          </w:tcPr>
          <w:p>
            <w:r/>
            <w:r>
              <w:rPr>
                <w:rFonts w:ascii="Calibri" w:hAnsi="Calibri"/>
                <w:sz w:val="20"/>
              </w:rPr>
              <w:t>$2.67B</w:t>
            </w:r>
          </w:p>
        </w:tc>
        <w:tc>
          <w:tcPr>
            <w:tcW w:type="dxa" w:w="2880"/>
            <w:shd w:val="clear" w:color="auto" w:fill="F4F7FB"/>
          </w:tcPr>
          <w:p>
            <w:r/>
            <w:r>
              <w:rPr>
                <w:rFonts w:ascii="Calibri" w:hAnsi="Calibri"/>
                <w:sz w:val="20"/>
              </w:rPr>
              <w:t>n/a</w:t>
            </w:r>
          </w:p>
        </w:tc>
        <w:tc>
          <w:tcPr>
            <w:tcW w:type="dxa" w:w="2448"/>
            <w:shd w:val="clear" w:color="auto" w:fill="F4F7FB"/>
          </w:tcPr>
          <w:p>
            <w:r/>
            <w:r>
              <w:rPr>
                <w:rFonts w:ascii="Calibri" w:hAnsi="Calibri"/>
                <w:sz w:val="20"/>
              </w:rPr>
              <w:t>+~14% YoY</w:t>
            </w:r>
          </w:p>
        </w:tc>
      </w:tr>
      <w:tr>
        <w:tc>
          <w:tcPr>
            <w:tcW w:type="dxa" w:w="2448"/>
          </w:tcPr>
          <w:p>
            <w:r/>
            <w:r>
              <w:rPr>
                <w:rFonts w:ascii="Calibri" w:hAnsi="Calibri"/>
                <w:sz w:val="20"/>
              </w:rPr>
              <w:t>Non-GAAP Operating Margin</w:t>
            </w:r>
          </w:p>
        </w:tc>
        <w:tc>
          <w:tcPr>
            <w:tcW w:type="dxa" w:w="2304"/>
          </w:tcPr>
          <w:p>
            <w:r/>
            <w:r>
              <w:rPr>
                <w:rFonts w:ascii="Calibri" w:hAnsi="Calibri"/>
                <w:sz w:val="20"/>
              </w:rPr>
              <w:t>45.3%</w:t>
            </w:r>
          </w:p>
        </w:tc>
        <w:tc>
          <w:tcPr>
            <w:tcW w:type="dxa" w:w="2880"/>
          </w:tcPr>
          <w:p>
            <w:r/>
            <w:r>
              <w:rPr>
                <w:rFonts w:ascii="Calibri" w:hAnsi="Calibri"/>
                <w:sz w:val="20"/>
              </w:rPr>
              <w:t>~44.5% (cons.)</w:t>
            </w:r>
          </w:p>
        </w:tc>
        <w:tc>
          <w:tcPr>
            <w:tcW w:type="dxa" w:w="2448"/>
          </w:tcPr>
          <w:p>
            <w:r/>
            <w:r>
              <w:rPr>
                <w:rFonts w:ascii="Calibri" w:hAnsi="Calibri"/>
                <w:sz w:val="20"/>
              </w:rPr>
              <w:t>+80bps</w:t>
            </w:r>
          </w:p>
        </w:tc>
      </w:tr>
      <w:tr>
        <w:tc>
          <w:tcPr>
            <w:tcW w:type="dxa" w:w="2448"/>
            <w:shd w:val="clear" w:color="auto" w:fill="F4F7FB"/>
          </w:tcPr>
          <w:p>
            <w:r/>
            <w:r>
              <w:rPr>
                <w:rFonts w:ascii="Calibri" w:hAnsi="Calibri"/>
                <w:sz w:val="20"/>
              </w:rPr>
              <w:t>Operating Cash Flow</w:t>
            </w:r>
          </w:p>
        </w:tc>
        <w:tc>
          <w:tcPr>
            <w:tcW w:type="dxa" w:w="2304"/>
            <w:shd w:val="clear" w:color="auto" w:fill="F4F7FB"/>
          </w:tcPr>
          <w:p>
            <w:r/>
            <w:r>
              <w:rPr>
                <w:rFonts w:ascii="Calibri" w:hAnsi="Calibri"/>
                <w:sz w:val="20"/>
              </w:rPr>
              <w:t>$2.2B</w:t>
            </w:r>
          </w:p>
        </w:tc>
        <w:tc>
          <w:tcPr>
            <w:tcW w:type="dxa" w:w="2880"/>
            <w:shd w:val="clear" w:color="auto" w:fill="F4F7FB"/>
          </w:tcPr>
          <w:p>
            <w:r/>
            <w:r>
              <w:rPr>
                <w:rFonts w:ascii="Calibri" w:hAnsi="Calibri"/>
                <w:sz w:val="20"/>
              </w:rPr>
              <w:t>$1.7B Q1'25</w:t>
            </w:r>
          </w:p>
        </w:tc>
        <w:tc>
          <w:tcPr>
            <w:tcW w:type="dxa" w:w="2448"/>
            <w:shd w:val="clear" w:color="auto" w:fill="F4F7FB"/>
          </w:tcPr>
          <w:p>
            <w:r/>
            <w:r>
              <w:rPr>
                <w:rFonts w:ascii="Calibri" w:hAnsi="Calibri"/>
                <w:sz w:val="20"/>
              </w:rPr>
              <w:t>+~29%</w:t>
            </w:r>
          </w:p>
        </w:tc>
      </w:tr>
      <w:tr>
        <w:tc>
          <w:tcPr>
            <w:tcW w:type="dxa" w:w="2448"/>
          </w:tcPr>
          <w:p>
            <w:r/>
            <w:r>
              <w:rPr>
                <w:rFonts w:ascii="Calibri" w:hAnsi="Calibri"/>
                <w:sz w:val="20"/>
              </w:rPr>
              <w:t>Free Cash Flow</w:t>
            </w:r>
          </w:p>
        </w:tc>
        <w:tc>
          <w:tcPr>
            <w:tcW w:type="dxa" w:w="2304"/>
          </w:tcPr>
          <w:p>
            <w:r/>
            <w:r>
              <w:rPr>
                <w:rFonts w:ascii="Calibri" w:hAnsi="Calibri"/>
                <w:sz w:val="20"/>
              </w:rPr>
              <w:t>$1.5B</w:t>
            </w:r>
          </w:p>
        </w:tc>
        <w:tc>
          <w:tcPr>
            <w:tcW w:type="dxa" w:w="2880"/>
          </w:tcPr>
          <w:p>
            <w:r/>
            <w:r>
              <w:rPr>
                <w:rFonts w:ascii="Calibri" w:hAnsi="Calibri"/>
                <w:sz w:val="20"/>
              </w:rPr>
              <w:t>$1.0B Q1'25</w:t>
            </w:r>
          </w:p>
        </w:tc>
        <w:tc>
          <w:tcPr>
            <w:tcW w:type="dxa" w:w="2448"/>
          </w:tcPr>
          <w:p>
            <w:r/>
            <w:r>
              <w:rPr>
                <w:rFonts w:ascii="Calibri" w:hAnsi="Calibri"/>
                <w:sz w:val="20"/>
              </w:rPr>
              <w:t>+50%</w:t>
            </w:r>
          </w:p>
        </w:tc>
      </w:tr>
    </w:tbl>
    <w:p>
      <w:r>
        <w:br w:type="page"/>
      </w:r>
    </w:p>
    <w:p>
      <w:pPr>
        <w:spacing w:before="280" w:after="160"/>
      </w:pPr>
      <w:r>
        <w:rPr>
          <w:rFonts w:ascii="Calibri" w:hAnsi="Calibri"/>
          <w:b/>
          <w:color w:val="0B2C5C"/>
          <w:sz w:val="36"/>
        </w:rPr>
        <w:t>Detailed Quarterly Results</w:t>
      </w:r>
    </w:p>
    <w:p>
      <w:pPr>
        <w:spacing w:before="200" w:after="80"/>
      </w:pPr>
      <w:r>
        <w:rPr>
          <w:rFonts w:ascii="Calibri" w:hAnsi="Calibri"/>
          <w:b/>
          <w:color w:val="0B2C5C"/>
          <w:sz w:val="28"/>
        </w:rPr>
        <w:t>Consolidated P&amp;L Walk</w:t>
      </w:r>
    </w:p>
    <w:p>
      <w:pPr>
        <w:spacing w:after="80"/>
      </w:pPr>
      <w:r>
        <w:rPr>
          <w:rFonts w:ascii="Calibri" w:hAnsi="Calibri"/>
          <w:b w:val="0"/>
          <w:i w:val="0"/>
          <w:sz w:val="21"/>
        </w:rPr>
        <w:t>Total revenue of $8.62B grew 6% YoY, with product sales growing 4% on volume of +9% partially offset by 2% lower net selling price and another 2% from inventory normalization. The 200bps gap between volume and product-sales growth is the cleanest framing of the IRA headwind and the 340B Program mix shift - both of which are now in the run-rate and largely transparent to investors. Other revenue contributed approximately $0.4B, driven by royalty income and contract manufacturing.</w:t>
      </w:r>
    </w:p>
    <w:p>
      <w:pPr>
        <w:spacing w:after="80"/>
      </w:pPr>
      <w:r>
        <w:rPr>
          <w:rFonts w:ascii="Calibri" w:hAnsi="Calibri"/>
          <w:b w:val="0"/>
          <w:i w:val="0"/>
          <w:sz w:val="21"/>
        </w:rPr>
        <w:t>Non-GAAP operating income of $3.7B (45.3% non-GAAP operating margin) expanded by roughly 90bps YoY, reflecting positive operating leverage on biosimilar/specialty volume despite a 16% increase in R&amp;D spend ($1.7B) - the highest quarterly R&amp;D outlay in Amgen's history, concentrated on the MariTide MARITIME Phase 3 program and follow-on oncology BiTE/T-cell engager assets. GAAP EPS of $3.34 versus the non-GAAP $5.15 reflects roughly $1.81/share of intangible amortization, restructuring, and acquisition-related charges (predominantly from the $27.8B Horizon Therapeutics deal that closed in October 2023).</w:t>
      </w:r>
    </w:p>
    <w:p>
      <w:pPr>
        <w:spacing w:before="200" w:after="80"/>
      </w:pPr>
      <w:r>
        <w:rPr>
          <w:rFonts w:ascii="Calibri" w:hAnsi="Calibri"/>
          <w:b/>
          <w:color w:val="0B2C5C"/>
          <w:sz w:val="28"/>
        </w:rPr>
        <w:t>Product Sales by Brand</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880"/>
            <w:shd w:val="clear" w:color="auto" w:fill="0B2C5C"/>
          </w:tcPr>
          <w:p>
            <w:r/>
            <w:r>
              <w:rPr>
                <w:rFonts w:ascii="Calibri" w:hAnsi="Calibri"/>
                <w:b/>
                <w:color w:val="FFFFFF"/>
                <w:sz w:val="20"/>
              </w:rPr>
              <w:t>Brand</w:t>
            </w:r>
          </w:p>
        </w:tc>
        <w:tc>
          <w:tcPr>
            <w:tcW w:type="dxa" w:w="1584"/>
            <w:shd w:val="clear" w:color="auto" w:fill="0B2C5C"/>
          </w:tcPr>
          <w:p>
            <w:r/>
            <w:r>
              <w:rPr>
                <w:rFonts w:ascii="Calibri" w:hAnsi="Calibri"/>
                <w:b/>
                <w:color w:val="FFFFFF"/>
                <w:sz w:val="20"/>
              </w:rPr>
              <w:t>Q1'26 Sales</w:t>
            </w:r>
          </w:p>
        </w:tc>
        <w:tc>
          <w:tcPr>
            <w:tcW w:type="dxa" w:w="1296"/>
            <w:shd w:val="clear" w:color="auto" w:fill="0B2C5C"/>
          </w:tcPr>
          <w:p>
            <w:r/>
            <w:r>
              <w:rPr>
                <w:rFonts w:ascii="Calibri" w:hAnsi="Calibri"/>
                <w:b/>
                <w:color w:val="FFFFFF"/>
                <w:sz w:val="20"/>
              </w:rPr>
              <w:t>YoY %</w:t>
            </w:r>
          </w:p>
        </w:tc>
        <w:tc>
          <w:tcPr>
            <w:tcW w:type="dxa" w:w="3600"/>
            <w:shd w:val="clear" w:color="auto" w:fill="0B2C5C"/>
          </w:tcPr>
          <w:p>
            <w:r/>
            <w:r>
              <w:rPr>
                <w:rFonts w:ascii="Calibri" w:hAnsi="Calibri"/>
                <w:b/>
                <w:color w:val="FFFFFF"/>
                <w:sz w:val="20"/>
              </w:rPr>
              <w:t>Driver</w:t>
            </w:r>
          </w:p>
        </w:tc>
      </w:tr>
      <w:tr>
        <w:tc>
          <w:tcPr>
            <w:tcW w:type="dxa" w:w="2880"/>
          </w:tcPr>
          <w:p>
            <w:r/>
            <w:r>
              <w:rPr>
                <w:rFonts w:ascii="Calibri" w:hAnsi="Calibri"/>
                <w:sz w:val="20"/>
              </w:rPr>
              <w:t>Repatha (PCSK9, CV)</w:t>
            </w:r>
          </w:p>
        </w:tc>
        <w:tc>
          <w:tcPr>
            <w:tcW w:type="dxa" w:w="1584"/>
          </w:tcPr>
          <w:p>
            <w:r/>
            <w:r>
              <w:rPr>
                <w:rFonts w:ascii="Calibri" w:hAnsi="Calibri"/>
                <w:sz w:val="20"/>
              </w:rPr>
              <w:t>$876M</w:t>
            </w:r>
          </w:p>
        </w:tc>
        <w:tc>
          <w:tcPr>
            <w:tcW w:type="dxa" w:w="1296"/>
          </w:tcPr>
          <w:p>
            <w:r/>
            <w:r>
              <w:rPr>
                <w:rFonts w:ascii="Calibri" w:hAnsi="Calibri"/>
                <w:sz w:val="20"/>
              </w:rPr>
              <w:t>+34%</w:t>
            </w:r>
          </w:p>
        </w:tc>
        <w:tc>
          <w:tcPr>
            <w:tcW w:type="dxa" w:w="3600"/>
          </w:tcPr>
          <w:p>
            <w:r/>
            <w:r>
              <w:rPr>
                <w:rFonts w:ascii="Calibri" w:hAnsi="Calibri"/>
                <w:sz w:val="20"/>
              </w:rPr>
              <w:t>Volume +35%, guideline-driven</w:t>
            </w:r>
          </w:p>
        </w:tc>
      </w:tr>
      <w:tr>
        <w:tc>
          <w:tcPr>
            <w:tcW w:type="dxa" w:w="2880"/>
            <w:shd w:val="clear" w:color="auto" w:fill="F4F7FB"/>
          </w:tcPr>
          <w:p>
            <w:r/>
            <w:r>
              <w:rPr>
                <w:rFonts w:ascii="Calibri" w:hAnsi="Calibri"/>
                <w:sz w:val="20"/>
              </w:rPr>
              <w:t>Prolia (osteoporosis)</w:t>
            </w:r>
          </w:p>
        </w:tc>
        <w:tc>
          <w:tcPr>
            <w:tcW w:type="dxa" w:w="1584"/>
            <w:shd w:val="clear" w:color="auto" w:fill="F4F7FB"/>
          </w:tcPr>
          <w:p>
            <w:r/>
            <w:r>
              <w:rPr>
                <w:rFonts w:ascii="Calibri" w:hAnsi="Calibri"/>
                <w:sz w:val="20"/>
              </w:rPr>
              <w:t>$727M</w:t>
            </w:r>
          </w:p>
        </w:tc>
        <w:tc>
          <w:tcPr>
            <w:tcW w:type="dxa" w:w="1296"/>
            <w:shd w:val="clear" w:color="auto" w:fill="F4F7FB"/>
          </w:tcPr>
          <w:p>
            <w:r/>
            <w:r>
              <w:rPr>
                <w:rFonts w:ascii="Calibri" w:hAnsi="Calibri"/>
                <w:sz w:val="20"/>
              </w:rPr>
              <w:t>(34%)</w:t>
            </w:r>
          </w:p>
        </w:tc>
        <w:tc>
          <w:tcPr>
            <w:tcW w:type="dxa" w:w="3600"/>
            <w:shd w:val="clear" w:color="auto" w:fill="F4F7FB"/>
          </w:tcPr>
          <w:p>
            <w:r/>
            <w:r>
              <w:rPr>
                <w:rFonts w:ascii="Calibri" w:hAnsi="Calibri"/>
                <w:sz w:val="20"/>
              </w:rPr>
              <w:t>Biosimilar entry; Vol (17%), Px (10%)</w:t>
            </w:r>
          </w:p>
        </w:tc>
      </w:tr>
      <w:tr>
        <w:tc>
          <w:tcPr>
            <w:tcW w:type="dxa" w:w="2880"/>
          </w:tcPr>
          <w:p>
            <w:r/>
            <w:r>
              <w:rPr>
                <w:rFonts w:ascii="Calibri" w:hAnsi="Calibri"/>
                <w:sz w:val="20"/>
              </w:rPr>
              <w:t>Evenity (osteoporosis)</w:t>
            </w:r>
          </w:p>
        </w:tc>
        <w:tc>
          <w:tcPr>
            <w:tcW w:type="dxa" w:w="1584"/>
          </w:tcPr>
          <w:p>
            <w:r/>
            <w:r>
              <w:rPr>
                <w:rFonts w:ascii="Calibri" w:hAnsi="Calibri"/>
                <w:sz w:val="20"/>
              </w:rPr>
              <w:t>$562M</w:t>
            </w:r>
          </w:p>
        </w:tc>
        <w:tc>
          <w:tcPr>
            <w:tcW w:type="dxa" w:w="1296"/>
          </w:tcPr>
          <w:p>
            <w:r/>
            <w:r>
              <w:rPr>
                <w:rFonts w:ascii="Calibri" w:hAnsi="Calibri"/>
                <w:sz w:val="20"/>
              </w:rPr>
              <w:t>+27%</w:t>
            </w:r>
          </w:p>
        </w:tc>
        <w:tc>
          <w:tcPr>
            <w:tcW w:type="dxa" w:w="3600"/>
          </w:tcPr>
          <w:p>
            <w:r/>
            <w:r>
              <w:rPr>
                <w:rFonts w:ascii="Calibri" w:hAnsi="Calibri"/>
                <w:sz w:val="20"/>
              </w:rPr>
              <w:t>U.S. share 65%, +35% U.S. growth</w:t>
            </w:r>
          </w:p>
        </w:tc>
      </w:tr>
      <w:tr>
        <w:tc>
          <w:tcPr>
            <w:tcW w:type="dxa" w:w="2880"/>
            <w:shd w:val="clear" w:color="auto" w:fill="F4F7FB"/>
          </w:tcPr>
          <w:p>
            <w:r/>
            <w:r>
              <w:rPr>
                <w:rFonts w:ascii="Calibri" w:hAnsi="Calibri"/>
                <w:sz w:val="20"/>
              </w:rPr>
              <w:t>TEPEZZA (TED)</w:t>
            </w:r>
          </w:p>
        </w:tc>
        <w:tc>
          <w:tcPr>
            <w:tcW w:type="dxa" w:w="1584"/>
            <w:shd w:val="clear" w:color="auto" w:fill="F4F7FB"/>
          </w:tcPr>
          <w:p>
            <w:r/>
            <w:r>
              <w:rPr>
                <w:rFonts w:ascii="Calibri" w:hAnsi="Calibri"/>
                <w:sz w:val="20"/>
              </w:rPr>
              <w:t>$490M</w:t>
            </w:r>
          </w:p>
        </w:tc>
        <w:tc>
          <w:tcPr>
            <w:tcW w:type="dxa" w:w="1296"/>
            <w:shd w:val="clear" w:color="auto" w:fill="F4F7FB"/>
          </w:tcPr>
          <w:p>
            <w:r/>
            <w:r>
              <w:rPr>
                <w:rFonts w:ascii="Calibri" w:hAnsi="Calibri"/>
                <w:sz w:val="20"/>
              </w:rPr>
              <w:t>+29%</w:t>
            </w:r>
          </w:p>
        </w:tc>
        <w:tc>
          <w:tcPr>
            <w:tcW w:type="dxa" w:w="3600"/>
            <w:shd w:val="clear" w:color="auto" w:fill="F4F7FB"/>
          </w:tcPr>
          <w:p>
            <w:r/>
            <w:r>
              <w:rPr>
                <w:rFonts w:ascii="Calibri" w:hAnsi="Calibri"/>
                <w:sz w:val="20"/>
              </w:rPr>
              <w:t>Inventory + price; TED launches</w:t>
            </w:r>
          </w:p>
        </w:tc>
      </w:tr>
      <w:tr>
        <w:tc>
          <w:tcPr>
            <w:tcW w:type="dxa" w:w="2880"/>
          </w:tcPr>
          <w:p>
            <w:r/>
            <w:r>
              <w:rPr>
                <w:rFonts w:ascii="Calibri" w:hAnsi="Calibri"/>
                <w:sz w:val="20"/>
              </w:rPr>
              <w:t>Otezla (psoriasis)</w:t>
            </w:r>
          </w:p>
        </w:tc>
        <w:tc>
          <w:tcPr>
            <w:tcW w:type="dxa" w:w="1584"/>
          </w:tcPr>
          <w:p>
            <w:r/>
            <w:r>
              <w:rPr>
                <w:rFonts w:ascii="Calibri" w:hAnsi="Calibri"/>
                <w:sz w:val="20"/>
              </w:rPr>
              <w:t>$431M</w:t>
            </w:r>
          </w:p>
        </w:tc>
        <w:tc>
          <w:tcPr>
            <w:tcW w:type="dxa" w:w="1296"/>
          </w:tcPr>
          <w:p>
            <w:r/>
            <w:r>
              <w:rPr>
                <w:rFonts w:ascii="Calibri" w:hAnsi="Calibri"/>
                <w:sz w:val="20"/>
              </w:rPr>
              <w:t>(1%)</w:t>
            </w:r>
          </w:p>
        </w:tc>
        <w:tc>
          <w:tcPr>
            <w:tcW w:type="dxa" w:w="3600"/>
          </w:tcPr>
          <w:p>
            <w:r/>
            <w:r>
              <w:rPr>
                <w:rFonts w:ascii="Calibri" w:hAnsi="Calibri"/>
                <w:sz w:val="20"/>
              </w:rPr>
              <w:t>Pricing pressure offset by volume</w:t>
            </w:r>
          </w:p>
        </w:tc>
      </w:tr>
      <w:tr>
        <w:tc>
          <w:tcPr>
            <w:tcW w:type="dxa" w:w="2880"/>
            <w:shd w:val="clear" w:color="auto" w:fill="F4F7FB"/>
          </w:tcPr>
          <w:p>
            <w:r/>
            <w:r>
              <w:rPr>
                <w:rFonts w:ascii="Calibri" w:hAnsi="Calibri"/>
                <w:sz w:val="20"/>
              </w:rPr>
              <w:t>BLINCYTO (BiTE, ALL)</w:t>
            </w:r>
          </w:p>
        </w:tc>
        <w:tc>
          <w:tcPr>
            <w:tcW w:type="dxa" w:w="1584"/>
            <w:shd w:val="clear" w:color="auto" w:fill="F4F7FB"/>
          </w:tcPr>
          <w:p>
            <w:r/>
            <w:r>
              <w:rPr>
                <w:rFonts w:ascii="Calibri" w:hAnsi="Calibri"/>
                <w:sz w:val="20"/>
              </w:rPr>
              <w:t>$415M</w:t>
            </w:r>
          </w:p>
        </w:tc>
        <w:tc>
          <w:tcPr>
            <w:tcW w:type="dxa" w:w="1296"/>
            <w:shd w:val="clear" w:color="auto" w:fill="F4F7FB"/>
          </w:tcPr>
          <w:p>
            <w:r/>
            <w:r>
              <w:rPr>
                <w:rFonts w:ascii="Calibri" w:hAnsi="Calibri"/>
                <w:sz w:val="20"/>
              </w:rPr>
              <w:t>+12%</w:t>
            </w:r>
          </w:p>
        </w:tc>
        <w:tc>
          <w:tcPr>
            <w:tcW w:type="dxa" w:w="3600"/>
            <w:shd w:val="clear" w:color="auto" w:fill="F4F7FB"/>
          </w:tcPr>
          <w:p>
            <w:r/>
            <w:r>
              <w:rPr>
                <w:rFonts w:ascii="Calibri" w:hAnsi="Calibri"/>
                <w:sz w:val="20"/>
              </w:rPr>
              <w:t>Volume +19%; subQ pipeline ramp</w:t>
            </w:r>
          </w:p>
        </w:tc>
      </w:tr>
      <w:tr>
        <w:tc>
          <w:tcPr>
            <w:tcW w:type="dxa" w:w="2880"/>
          </w:tcPr>
          <w:p>
            <w:r/>
            <w:r>
              <w:rPr>
                <w:rFonts w:ascii="Calibri" w:hAnsi="Calibri"/>
                <w:sz w:val="20"/>
              </w:rPr>
              <w:t>Tezspire (severe asthma)</w:t>
            </w:r>
          </w:p>
        </w:tc>
        <w:tc>
          <w:tcPr>
            <w:tcW w:type="dxa" w:w="1584"/>
          </w:tcPr>
          <w:p>
            <w:r/>
            <w:r>
              <w:rPr>
                <w:rFonts w:ascii="Calibri" w:hAnsi="Calibri"/>
                <w:sz w:val="20"/>
              </w:rPr>
              <w:t>$343M</w:t>
            </w:r>
          </w:p>
        </w:tc>
        <w:tc>
          <w:tcPr>
            <w:tcW w:type="dxa" w:w="1296"/>
          </w:tcPr>
          <w:p>
            <w:r/>
            <w:r>
              <w:rPr>
                <w:rFonts w:ascii="Calibri" w:hAnsi="Calibri"/>
                <w:sz w:val="20"/>
              </w:rPr>
              <w:t>+20%</w:t>
            </w:r>
          </w:p>
        </w:tc>
        <w:tc>
          <w:tcPr>
            <w:tcW w:type="dxa" w:w="3600"/>
          </w:tcPr>
          <w:p>
            <w:r/>
            <w:r>
              <w:rPr>
                <w:rFonts w:ascii="Calibri" w:hAnsi="Calibri"/>
                <w:sz w:val="20"/>
              </w:rPr>
              <w:t>Volume; share gains</w:t>
            </w:r>
          </w:p>
        </w:tc>
      </w:tr>
      <w:tr>
        <w:tc>
          <w:tcPr>
            <w:tcW w:type="dxa" w:w="2880"/>
            <w:shd w:val="clear" w:color="auto" w:fill="F4F7FB"/>
          </w:tcPr>
          <w:p>
            <w:r/>
            <w:r>
              <w:rPr>
                <w:rFonts w:ascii="Calibri" w:hAnsi="Calibri"/>
                <w:sz w:val="20"/>
              </w:rPr>
              <w:t>KYPROLIS (myeloma)</w:t>
            </w:r>
          </w:p>
        </w:tc>
        <w:tc>
          <w:tcPr>
            <w:tcW w:type="dxa" w:w="1584"/>
            <w:shd w:val="clear" w:color="auto" w:fill="F4F7FB"/>
          </w:tcPr>
          <w:p>
            <w:r/>
            <w:r>
              <w:rPr>
                <w:rFonts w:ascii="Calibri" w:hAnsi="Calibri"/>
                <w:sz w:val="20"/>
              </w:rPr>
              <w:t>$330M</w:t>
            </w:r>
          </w:p>
        </w:tc>
        <w:tc>
          <w:tcPr>
            <w:tcW w:type="dxa" w:w="1296"/>
            <w:shd w:val="clear" w:color="auto" w:fill="F4F7FB"/>
          </w:tcPr>
          <w:p>
            <w:r/>
            <w:r>
              <w:rPr>
                <w:rFonts w:ascii="Calibri" w:hAnsi="Calibri"/>
                <w:sz w:val="20"/>
              </w:rPr>
              <w:t>+2%</w:t>
            </w:r>
          </w:p>
        </w:tc>
        <w:tc>
          <w:tcPr>
            <w:tcW w:type="dxa" w:w="3600"/>
            <w:shd w:val="clear" w:color="auto" w:fill="F4F7FB"/>
          </w:tcPr>
          <w:p>
            <w:r/>
            <w:r>
              <w:rPr>
                <w:rFonts w:ascii="Calibri" w:hAnsi="Calibri"/>
                <w:sz w:val="20"/>
              </w:rPr>
              <w:t>Volume +; mature franchise</w:t>
            </w:r>
          </w:p>
        </w:tc>
      </w:tr>
      <w:tr>
        <w:tc>
          <w:tcPr>
            <w:tcW w:type="dxa" w:w="2880"/>
          </w:tcPr>
          <w:p>
            <w:r/>
            <w:r>
              <w:rPr>
                <w:rFonts w:ascii="Calibri" w:hAnsi="Calibri"/>
                <w:sz w:val="20"/>
              </w:rPr>
              <w:t>Enbrel (RA)</w:t>
            </w:r>
          </w:p>
        </w:tc>
        <w:tc>
          <w:tcPr>
            <w:tcW w:type="dxa" w:w="1584"/>
          </w:tcPr>
          <w:p>
            <w:r/>
            <w:r>
              <w:rPr>
                <w:rFonts w:ascii="Calibri" w:hAnsi="Calibri"/>
                <w:sz w:val="20"/>
              </w:rPr>
              <w:t>$320M</w:t>
            </w:r>
          </w:p>
        </w:tc>
        <w:tc>
          <w:tcPr>
            <w:tcW w:type="dxa" w:w="1296"/>
          </w:tcPr>
          <w:p>
            <w:r/>
            <w:r>
              <w:rPr>
                <w:rFonts w:ascii="Calibri" w:hAnsi="Calibri"/>
                <w:sz w:val="20"/>
              </w:rPr>
              <w:t>(37%)</w:t>
            </w:r>
          </w:p>
        </w:tc>
        <w:tc>
          <w:tcPr>
            <w:tcW w:type="dxa" w:w="3600"/>
          </w:tcPr>
          <w:p>
            <w:r/>
            <w:r>
              <w:rPr>
                <w:rFonts w:ascii="Calibri" w:hAnsi="Calibri"/>
                <w:sz w:val="20"/>
              </w:rPr>
              <w:t>IRA Part D price-set effective 1/1/26</w:t>
            </w:r>
          </w:p>
        </w:tc>
      </w:tr>
      <w:tr>
        <w:tc>
          <w:tcPr>
            <w:tcW w:type="dxa" w:w="2880"/>
            <w:shd w:val="clear" w:color="auto" w:fill="F4F7FB"/>
          </w:tcPr>
          <w:p>
            <w:r/>
            <w:r>
              <w:rPr>
                <w:rFonts w:ascii="Calibri" w:hAnsi="Calibri"/>
                <w:sz w:val="20"/>
              </w:rPr>
              <w:t>Vectibix (CRC)</w:t>
            </w:r>
          </w:p>
        </w:tc>
        <w:tc>
          <w:tcPr>
            <w:tcW w:type="dxa" w:w="1584"/>
            <w:shd w:val="clear" w:color="auto" w:fill="F4F7FB"/>
          </w:tcPr>
          <w:p>
            <w:r/>
            <w:r>
              <w:rPr>
                <w:rFonts w:ascii="Calibri" w:hAnsi="Calibri"/>
                <w:sz w:val="20"/>
              </w:rPr>
              <w:t>$287M</w:t>
            </w:r>
          </w:p>
        </w:tc>
        <w:tc>
          <w:tcPr>
            <w:tcW w:type="dxa" w:w="1296"/>
            <w:shd w:val="clear" w:color="auto" w:fill="F4F7FB"/>
          </w:tcPr>
          <w:p>
            <w:r/>
            <w:r>
              <w:rPr>
                <w:rFonts w:ascii="Calibri" w:hAnsi="Calibri"/>
                <w:sz w:val="20"/>
              </w:rPr>
              <w:t>+7%</w:t>
            </w:r>
          </w:p>
        </w:tc>
        <w:tc>
          <w:tcPr>
            <w:tcW w:type="dxa" w:w="3600"/>
            <w:shd w:val="clear" w:color="auto" w:fill="F4F7FB"/>
          </w:tcPr>
          <w:p>
            <w:r/>
            <w:r>
              <w:rPr>
                <w:rFonts w:ascii="Calibri" w:hAnsi="Calibri"/>
                <w:sz w:val="20"/>
              </w:rPr>
              <w:t>Volume +11%</w:t>
            </w:r>
          </w:p>
        </w:tc>
      </w:tr>
      <w:tr>
        <w:tc>
          <w:tcPr>
            <w:tcW w:type="dxa" w:w="2880"/>
          </w:tcPr>
          <w:p>
            <w:r/>
            <w:r>
              <w:rPr>
                <w:rFonts w:ascii="Calibri" w:hAnsi="Calibri"/>
                <w:sz w:val="20"/>
              </w:rPr>
              <w:t>PAVBLU (aflibercept biosim)</w:t>
            </w:r>
          </w:p>
        </w:tc>
        <w:tc>
          <w:tcPr>
            <w:tcW w:type="dxa" w:w="1584"/>
          </w:tcPr>
          <w:p>
            <w:r/>
            <w:r>
              <w:rPr>
                <w:rFonts w:ascii="Calibri" w:hAnsi="Calibri"/>
                <w:sz w:val="20"/>
              </w:rPr>
              <w:t>$280M</w:t>
            </w:r>
          </w:p>
        </w:tc>
        <w:tc>
          <w:tcPr>
            <w:tcW w:type="dxa" w:w="1296"/>
          </w:tcPr>
          <w:p>
            <w:r/>
            <w:r>
              <w:rPr>
                <w:rFonts w:ascii="Calibri" w:hAnsi="Calibri"/>
                <w:sz w:val="20"/>
              </w:rPr>
              <w:t>n/a</w:t>
            </w:r>
          </w:p>
        </w:tc>
        <w:tc>
          <w:tcPr>
            <w:tcW w:type="dxa" w:w="3600"/>
          </w:tcPr>
          <w:p>
            <w:r/>
            <w:r>
              <w:rPr>
                <w:rFonts w:ascii="Calibri" w:hAnsi="Calibri"/>
                <w:sz w:val="20"/>
              </w:rPr>
              <w:t>+9% QoQ; biosim leader</w:t>
            </w:r>
          </w:p>
        </w:tc>
      </w:tr>
      <w:tr>
        <w:tc>
          <w:tcPr>
            <w:tcW w:type="dxa" w:w="2880"/>
            <w:shd w:val="clear" w:color="auto" w:fill="F4F7FB"/>
          </w:tcPr>
          <w:p>
            <w:r/>
            <w:r>
              <w:rPr>
                <w:rFonts w:ascii="Calibri" w:hAnsi="Calibri"/>
                <w:sz w:val="20"/>
              </w:rPr>
              <w:t>UPLIZNA (NMOSD/IgG4)</w:t>
            </w:r>
          </w:p>
        </w:tc>
        <w:tc>
          <w:tcPr>
            <w:tcW w:type="dxa" w:w="1584"/>
            <w:shd w:val="clear" w:color="auto" w:fill="F4F7FB"/>
          </w:tcPr>
          <w:p>
            <w:r/>
            <w:r>
              <w:rPr>
                <w:rFonts w:ascii="Calibri" w:hAnsi="Calibri"/>
                <w:sz w:val="20"/>
              </w:rPr>
              <w:t>$262M</w:t>
            </w:r>
          </w:p>
        </w:tc>
        <w:tc>
          <w:tcPr>
            <w:tcW w:type="dxa" w:w="1296"/>
            <w:shd w:val="clear" w:color="auto" w:fill="F4F7FB"/>
          </w:tcPr>
          <w:p>
            <w:r/>
            <w:r>
              <w:rPr>
                <w:rFonts w:ascii="Calibri" w:hAnsi="Calibri"/>
                <w:sz w:val="20"/>
              </w:rPr>
              <w:t>+188%</w:t>
            </w:r>
          </w:p>
        </w:tc>
        <w:tc>
          <w:tcPr>
            <w:tcW w:type="dxa" w:w="3600"/>
            <w:shd w:val="clear" w:color="auto" w:fill="F4F7FB"/>
          </w:tcPr>
          <w:p>
            <w:r/>
            <w:r>
              <w:rPr>
                <w:rFonts w:ascii="Calibri" w:hAnsi="Calibri"/>
                <w:sz w:val="20"/>
              </w:rPr>
              <w:t>Label expansion (IgG4-RD)</w:t>
            </w:r>
          </w:p>
        </w:tc>
      </w:tr>
      <w:tr>
        <w:tc>
          <w:tcPr>
            <w:tcW w:type="dxa" w:w="2880"/>
          </w:tcPr>
          <w:p>
            <w:r/>
            <w:r>
              <w:rPr>
                <w:rFonts w:ascii="Calibri" w:hAnsi="Calibri"/>
                <w:sz w:val="20"/>
              </w:rPr>
              <w:t>IMDELLTRA (DLL3, SCLC)</w:t>
            </w:r>
          </w:p>
        </w:tc>
        <w:tc>
          <w:tcPr>
            <w:tcW w:type="dxa" w:w="1584"/>
          </w:tcPr>
          <w:p>
            <w:r/>
            <w:r>
              <w:rPr>
                <w:rFonts w:ascii="Calibri" w:hAnsi="Calibri"/>
                <w:sz w:val="20"/>
              </w:rPr>
              <w:t>$258M</w:t>
            </w:r>
          </w:p>
        </w:tc>
        <w:tc>
          <w:tcPr>
            <w:tcW w:type="dxa" w:w="1296"/>
          </w:tcPr>
          <w:p>
            <w:r/>
            <w:r>
              <w:rPr>
                <w:rFonts w:ascii="Calibri" w:hAnsi="Calibri"/>
                <w:sz w:val="20"/>
              </w:rPr>
              <w:t>+219%</w:t>
            </w:r>
          </w:p>
        </w:tc>
        <w:tc>
          <w:tcPr>
            <w:tcW w:type="dxa" w:w="3600"/>
          </w:tcPr>
          <w:p>
            <w:r/>
            <w:r>
              <w:rPr>
                <w:rFonts w:ascii="Calibri" w:hAnsi="Calibri"/>
                <w:sz w:val="20"/>
              </w:rPr>
              <w:t>First-in-class T-cell engager</w:t>
            </w:r>
          </w:p>
        </w:tc>
      </w:tr>
      <w:tr>
        <w:tc>
          <w:tcPr>
            <w:tcW w:type="dxa" w:w="2880"/>
            <w:shd w:val="clear" w:color="auto" w:fill="F4F7FB"/>
          </w:tcPr>
          <w:p>
            <w:r/>
            <w:r>
              <w:rPr>
                <w:rFonts w:ascii="Calibri" w:hAnsi="Calibri"/>
                <w:sz w:val="20"/>
              </w:rPr>
              <w:t>Other / Biosim portfolio</w:t>
            </w:r>
          </w:p>
        </w:tc>
        <w:tc>
          <w:tcPr>
            <w:tcW w:type="dxa" w:w="1584"/>
            <w:shd w:val="clear" w:color="auto" w:fill="F4F7FB"/>
          </w:tcPr>
          <w:p>
            <w:r/>
            <w:r>
              <w:rPr>
                <w:rFonts w:ascii="Calibri" w:hAnsi="Calibri"/>
                <w:sz w:val="20"/>
              </w:rPr>
              <w:t>~$2.0B</w:t>
            </w:r>
          </w:p>
        </w:tc>
        <w:tc>
          <w:tcPr>
            <w:tcW w:type="dxa" w:w="1296"/>
            <w:shd w:val="clear" w:color="auto" w:fill="F4F7FB"/>
          </w:tcPr>
          <w:p>
            <w:r/>
            <w:r>
              <w:rPr>
                <w:rFonts w:ascii="Calibri" w:hAnsi="Calibri"/>
                <w:sz w:val="20"/>
              </w:rPr>
              <w:t>+~5%</w:t>
            </w:r>
          </w:p>
        </w:tc>
        <w:tc>
          <w:tcPr>
            <w:tcW w:type="dxa" w:w="3600"/>
            <w:shd w:val="clear" w:color="auto" w:fill="F4F7FB"/>
          </w:tcPr>
          <w:p>
            <w:r/>
            <w:r>
              <w:rPr>
                <w:rFonts w:ascii="Calibri" w:hAnsi="Calibri"/>
                <w:sz w:val="20"/>
              </w:rPr>
              <w:t>Includes MVASI, AMJEVITA, et al.</w:t>
            </w:r>
          </w:p>
        </w:tc>
      </w:tr>
      <w:tr>
        <w:tc>
          <w:tcPr>
            <w:tcW w:type="dxa" w:w="2880"/>
          </w:tcPr>
          <w:p>
            <w:r/>
            <w:r>
              <w:rPr>
                <w:rFonts w:ascii="Calibri" w:hAnsi="Calibri"/>
                <w:sz w:val="20"/>
              </w:rPr>
              <w:t>Total Product Sales</w:t>
            </w:r>
          </w:p>
        </w:tc>
        <w:tc>
          <w:tcPr>
            <w:tcW w:type="dxa" w:w="1584"/>
          </w:tcPr>
          <w:p>
            <w:r/>
            <w:r>
              <w:rPr>
                <w:rFonts w:ascii="Calibri" w:hAnsi="Calibri"/>
                <w:sz w:val="20"/>
              </w:rPr>
              <w:t>~$8.2B</w:t>
            </w:r>
          </w:p>
        </w:tc>
        <w:tc>
          <w:tcPr>
            <w:tcW w:type="dxa" w:w="1296"/>
          </w:tcPr>
          <w:p>
            <w:r/>
            <w:r>
              <w:rPr>
                <w:rFonts w:ascii="Calibri" w:hAnsi="Calibri"/>
                <w:sz w:val="20"/>
              </w:rPr>
              <w:t>+~4%</w:t>
            </w:r>
          </w:p>
        </w:tc>
        <w:tc>
          <w:tcPr>
            <w:tcW w:type="dxa" w:w="3600"/>
          </w:tcPr>
          <w:p>
            <w:r/>
            <w:r>
              <w:rPr>
                <w:rFonts w:ascii="Calibri" w:hAnsi="Calibri"/>
                <w:sz w:val="20"/>
              </w:rPr>
              <w:t>Volume +9%, price (2%), inv (2%)</w:t>
            </w:r>
          </w:p>
        </w:tc>
      </w:tr>
    </w:tbl>
    <w:p>
      <w:pPr>
        <w:spacing w:after="80"/>
      </w:pPr>
      <w:r>
        <w:rPr>
          <w:rFonts w:ascii="Calibri" w:hAnsi="Calibri"/>
          <w:b w:val="0"/>
          <w:i/>
          <w:color w:val="555F6B"/>
          <w:sz w:val="18"/>
        </w:rPr>
        <w:t>Source: Company Q1 2026 press release. Biosimilar portfolio total $735M including PAVBLU; total product sales reconcile with $8.2B+ approximation.</w:t>
      </w:r>
    </w:p>
    <w:p>
      <w:pPr>
        <w:spacing w:before="120" w:after="40"/>
      </w:pPr>
      <w:r>
        <w:rPr>
          <w:rFonts w:ascii="Calibri" w:hAnsi="Calibri"/>
          <w:b/>
          <w:color w:val="0B2C5C"/>
          <w:sz w:val="22"/>
        </w:rPr>
        <w:t>Six Growth Pillars Carrying the Franchise</w:t>
      </w:r>
    </w:p>
    <w:p>
      <w:pPr>
        <w:spacing w:after="80"/>
      </w:pPr>
      <w:r>
        <w:rPr>
          <w:rFonts w:ascii="Calibri" w:hAnsi="Calibri"/>
          <w:b w:val="0"/>
          <w:i w:val="0"/>
          <w:sz w:val="21"/>
        </w:rPr>
        <w:t>Management explicitly framed the quarter around six growth drivers - Repatha, Evenity, TEPEZZA, UPLIZNA, IMDELLTRA, and the biosimilar portfolio - that collectively grew 35-40% in aggregate and are now annualizing well above $13B. Each is in an underpenetrated category with multi-year runway: Repatha continues to take cardiovascular share following the lower-cost-shift in 2024 and the inclusion of PCSK9 inhibition in updated AHA/ACC guidelines; Evenity's U.S. share is now 65% with U.S. sales up 35% in the quarter; TEPEZZA holds essentially monopoly status in thyroid eye disease (TED) with multi-year runway in international markets and inventory replenishment; UPLIZNA's 188% growth reflects the post-Horizon label expansion into IgG4-related disease (Q4'25 approval); IMDELLTRA's 219% growth in small-cell lung cancer is the strongest oncology launch in the company's recent history and validates the BiTE/T-cell engager platform; and the biosimilar portfolio at $735M (+35%) makes Amgen the de facto U.S. biosimilars share leader, anchored by PAVBLU (Eylea biosimilar, $280M in Q1) and the MVASI/AMJEVITA franchises.</w:t>
      </w:r>
    </w:p>
    <w:p>
      <w:r>
        <w:br w:type="page"/>
      </w:r>
    </w:p>
    <w:p>
      <w:pPr>
        <w:spacing w:before="200" w:after="80"/>
      </w:pPr>
      <w:r>
        <w:rPr>
          <w:rFonts w:ascii="Calibri" w:hAnsi="Calibri"/>
          <w:b/>
          <w:color w:val="0B2C5C"/>
          <w:sz w:val="28"/>
        </w:rPr>
        <w:t>Margin &amp; Cost Structure</w:t>
      </w:r>
    </w:p>
    <w:p>
      <w:pPr>
        <w:spacing w:after="80"/>
      </w:pPr>
      <w:r>
        <w:rPr>
          <w:rFonts w:ascii="Calibri" w:hAnsi="Calibri"/>
          <w:b w:val="0"/>
          <w:i w:val="0"/>
          <w:sz w:val="21"/>
        </w:rPr>
        <w:t>Non-GAAP gross margin held in the high-70s reflecting the higher mix of biosimilars and the Horizon-acquired specialty rare-disease portfolio, partially offset by Enbrel and Prolia step-downs. R&amp;D expense of $1.7B (+16% YoY) reflects accelerating MARITIME (MariTide Phase 3 obesity) enrollment and the broader BiTE/T-cell engager pipeline; we expect the absolute R&amp;D spend to remain elevated through 2027 as Amgen front-loads the obesity program. SG&amp;A leverage (mid-single-digit growth versus 6% revenue growth) drove the +80bps non-GAAP operating margin expansion to 45.3% - within the new FY26 guidance band of 45-46% and consistent with the Horizon synergy realization plan (&gt;$500M cumulative synergy target through 2026).</w:t>
      </w:r>
    </w:p>
    <w:p>
      <w:pPr>
        <w:spacing w:before="200" w:after="80"/>
      </w:pPr>
      <w:r>
        <w:rPr>
          <w:rFonts w:ascii="Calibri" w:hAnsi="Calibri"/>
          <w:b/>
          <w:color w:val="0B2C5C"/>
          <w:sz w:val="28"/>
        </w:rPr>
        <w:t>Cash Flow &amp; Capital Allocation</w:t>
      </w:r>
    </w:p>
    <w:p>
      <w:pPr>
        <w:spacing w:after="80"/>
      </w:pPr>
      <w:r>
        <w:rPr>
          <w:rFonts w:ascii="Calibri" w:hAnsi="Calibri"/>
          <w:b w:val="0"/>
          <w:i w:val="0"/>
          <w:sz w:val="21"/>
        </w:rPr>
        <w:t>Operating cash flow of $2.2B (vs $1.7B Q1'25) and free cash flow of $1.5B (vs $1.0B Q1'25) reflect improved working capital and the run-rate operating margin uplift. Capex spend was elevated at ~$0.7B as Amgen continues construction on its new manufacturing facility in Holly Springs, NC and biologics drug-substance capacity expansion in Singapore. The Board paid the regular quarterly dividend of $2.52/share (annualized $10.08, +6% YoY), the 14th consecutive year of dividend increases. Notably, Amgen did not repurchase any shares in Q1 2026 as the focus remains on debt reduction following the Horizon acquisition (debt outstanding $57.3B versus cash of $12.0B = ~$45.3B net debt). Net debt-to-EBITDA stood at approximately 2.5x at quarter-end, on track for a sub-2.0x leverage profile by year-end 2027.</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3600"/>
            <w:shd w:val="clear" w:color="auto" w:fill="0B2C5C"/>
          </w:tcPr>
          <w:p>
            <w:r/>
            <w:r>
              <w:rPr>
                <w:rFonts w:ascii="Calibri" w:hAnsi="Calibri"/>
                <w:b/>
                <w:color w:val="FFFFFF"/>
                <w:sz w:val="20"/>
              </w:rPr>
              <w:t>Cash Flow &amp; Balance Sheet</w:t>
            </w:r>
          </w:p>
        </w:tc>
        <w:tc>
          <w:tcPr>
            <w:tcW w:type="dxa" w:w="1872"/>
            <w:shd w:val="clear" w:color="auto" w:fill="0B2C5C"/>
          </w:tcPr>
          <w:p>
            <w:r/>
            <w:r>
              <w:rPr>
                <w:rFonts w:ascii="Calibri" w:hAnsi="Calibri"/>
                <w:b/>
                <w:color w:val="FFFFFF"/>
                <w:sz w:val="20"/>
              </w:rPr>
              <w:t>Q1 2026</w:t>
            </w:r>
          </w:p>
        </w:tc>
        <w:tc>
          <w:tcPr>
            <w:tcW w:type="dxa" w:w="2160"/>
            <w:shd w:val="clear" w:color="auto" w:fill="0B2C5C"/>
          </w:tcPr>
          <w:p>
            <w:r/>
            <w:r>
              <w:rPr>
                <w:rFonts w:ascii="Calibri" w:hAnsi="Calibri"/>
                <w:b/>
                <w:color w:val="FFFFFF"/>
                <w:sz w:val="20"/>
              </w:rPr>
              <w:t>Q1 2025</w:t>
            </w:r>
          </w:p>
        </w:tc>
        <w:tc>
          <w:tcPr>
            <w:tcW w:type="dxa" w:w="1440"/>
            <w:shd w:val="clear" w:color="auto" w:fill="0B2C5C"/>
          </w:tcPr>
          <w:p>
            <w:r/>
            <w:r>
              <w:rPr>
                <w:rFonts w:ascii="Calibri" w:hAnsi="Calibri"/>
                <w:b/>
                <w:color w:val="FFFFFF"/>
                <w:sz w:val="20"/>
              </w:rPr>
              <w:t>YoY</w:t>
            </w:r>
          </w:p>
        </w:tc>
      </w:tr>
      <w:tr>
        <w:tc>
          <w:tcPr>
            <w:tcW w:type="dxa" w:w="3600"/>
          </w:tcPr>
          <w:p>
            <w:r/>
            <w:r>
              <w:rPr>
                <w:rFonts w:ascii="Calibri" w:hAnsi="Calibri"/>
                <w:sz w:val="20"/>
              </w:rPr>
              <w:t>Operating Cash Flow</w:t>
            </w:r>
          </w:p>
        </w:tc>
        <w:tc>
          <w:tcPr>
            <w:tcW w:type="dxa" w:w="1872"/>
          </w:tcPr>
          <w:p>
            <w:r/>
            <w:r>
              <w:rPr>
                <w:rFonts w:ascii="Calibri" w:hAnsi="Calibri"/>
                <w:sz w:val="20"/>
              </w:rPr>
              <w:t>$2.2B</w:t>
            </w:r>
          </w:p>
        </w:tc>
        <w:tc>
          <w:tcPr>
            <w:tcW w:type="dxa" w:w="2160"/>
          </w:tcPr>
          <w:p>
            <w:r/>
            <w:r>
              <w:rPr>
                <w:rFonts w:ascii="Calibri" w:hAnsi="Calibri"/>
                <w:sz w:val="20"/>
              </w:rPr>
              <w:t>$1.7B</w:t>
            </w:r>
          </w:p>
        </w:tc>
        <w:tc>
          <w:tcPr>
            <w:tcW w:type="dxa" w:w="1440"/>
          </w:tcPr>
          <w:p>
            <w:r/>
            <w:r>
              <w:rPr>
                <w:rFonts w:ascii="Calibri" w:hAnsi="Calibri"/>
                <w:sz w:val="20"/>
              </w:rPr>
              <w:t>+~29%</w:t>
            </w:r>
          </w:p>
        </w:tc>
      </w:tr>
      <w:tr>
        <w:tc>
          <w:tcPr>
            <w:tcW w:type="dxa" w:w="3600"/>
            <w:shd w:val="clear" w:color="auto" w:fill="F4F7FB"/>
          </w:tcPr>
          <w:p>
            <w:r/>
            <w:r>
              <w:rPr>
                <w:rFonts w:ascii="Calibri" w:hAnsi="Calibri"/>
                <w:sz w:val="20"/>
              </w:rPr>
              <w:t>Capex</w:t>
            </w:r>
          </w:p>
        </w:tc>
        <w:tc>
          <w:tcPr>
            <w:tcW w:type="dxa" w:w="1872"/>
            <w:shd w:val="clear" w:color="auto" w:fill="F4F7FB"/>
          </w:tcPr>
          <w:p>
            <w:r/>
            <w:r>
              <w:rPr>
                <w:rFonts w:ascii="Calibri" w:hAnsi="Calibri"/>
                <w:sz w:val="20"/>
              </w:rPr>
              <w:t>~$0.7B</w:t>
            </w:r>
          </w:p>
        </w:tc>
        <w:tc>
          <w:tcPr>
            <w:tcW w:type="dxa" w:w="2160"/>
            <w:shd w:val="clear" w:color="auto" w:fill="F4F7FB"/>
          </w:tcPr>
          <w:p>
            <w:r/>
            <w:r>
              <w:rPr>
                <w:rFonts w:ascii="Calibri" w:hAnsi="Calibri"/>
                <w:sz w:val="20"/>
              </w:rPr>
              <w:t>~$0.7B</w:t>
            </w:r>
          </w:p>
        </w:tc>
        <w:tc>
          <w:tcPr>
            <w:tcW w:type="dxa" w:w="1440"/>
            <w:shd w:val="clear" w:color="auto" w:fill="F4F7FB"/>
          </w:tcPr>
          <w:p>
            <w:r/>
            <w:r>
              <w:rPr>
                <w:rFonts w:ascii="Calibri" w:hAnsi="Calibri"/>
                <w:sz w:val="20"/>
              </w:rPr>
              <w:t>Flat</w:t>
            </w:r>
          </w:p>
        </w:tc>
      </w:tr>
      <w:tr>
        <w:tc>
          <w:tcPr>
            <w:tcW w:type="dxa" w:w="3600"/>
          </w:tcPr>
          <w:p>
            <w:r/>
            <w:r>
              <w:rPr>
                <w:rFonts w:ascii="Calibri" w:hAnsi="Calibri"/>
                <w:sz w:val="20"/>
              </w:rPr>
              <w:t>Free Cash Flow</w:t>
            </w:r>
          </w:p>
        </w:tc>
        <w:tc>
          <w:tcPr>
            <w:tcW w:type="dxa" w:w="1872"/>
          </w:tcPr>
          <w:p>
            <w:r/>
            <w:r>
              <w:rPr>
                <w:rFonts w:ascii="Calibri" w:hAnsi="Calibri"/>
                <w:sz w:val="20"/>
              </w:rPr>
              <w:t>$1.5B</w:t>
            </w:r>
          </w:p>
        </w:tc>
        <w:tc>
          <w:tcPr>
            <w:tcW w:type="dxa" w:w="2160"/>
          </w:tcPr>
          <w:p>
            <w:r/>
            <w:r>
              <w:rPr>
                <w:rFonts w:ascii="Calibri" w:hAnsi="Calibri"/>
                <w:sz w:val="20"/>
              </w:rPr>
              <w:t>$1.0B</w:t>
            </w:r>
          </w:p>
        </w:tc>
        <w:tc>
          <w:tcPr>
            <w:tcW w:type="dxa" w:w="1440"/>
          </w:tcPr>
          <w:p>
            <w:r/>
            <w:r>
              <w:rPr>
                <w:rFonts w:ascii="Calibri" w:hAnsi="Calibri"/>
                <w:sz w:val="20"/>
              </w:rPr>
              <w:t>+50%</w:t>
            </w:r>
          </w:p>
        </w:tc>
      </w:tr>
      <w:tr>
        <w:tc>
          <w:tcPr>
            <w:tcW w:type="dxa" w:w="3600"/>
            <w:shd w:val="clear" w:color="auto" w:fill="F4F7FB"/>
          </w:tcPr>
          <w:p>
            <w:r/>
            <w:r>
              <w:rPr>
                <w:rFonts w:ascii="Calibri" w:hAnsi="Calibri"/>
                <w:sz w:val="20"/>
              </w:rPr>
              <w:t>Cash &amp; Marketable Securities</w:t>
            </w:r>
          </w:p>
        </w:tc>
        <w:tc>
          <w:tcPr>
            <w:tcW w:type="dxa" w:w="1872"/>
            <w:shd w:val="clear" w:color="auto" w:fill="F4F7FB"/>
          </w:tcPr>
          <w:p>
            <w:r/>
            <w:r>
              <w:rPr>
                <w:rFonts w:ascii="Calibri" w:hAnsi="Calibri"/>
                <w:sz w:val="20"/>
              </w:rPr>
              <w:t>$12.0B</w:t>
            </w:r>
          </w:p>
        </w:tc>
        <w:tc>
          <w:tcPr>
            <w:tcW w:type="dxa" w:w="2160"/>
            <w:shd w:val="clear" w:color="auto" w:fill="F4F7FB"/>
          </w:tcPr>
          <w:p>
            <w:r/>
            <w:r>
              <w:rPr>
                <w:rFonts w:ascii="Calibri" w:hAnsi="Calibri"/>
                <w:sz w:val="20"/>
              </w:rPr>
              <w:t>$11.6B (YE'25)</w:t>
            </w:r>
          </w:p>
        </w:tc>
        <w:tc>
          <w:tcPr>
            <w:tcW w:type="dxa" w:w="1440"/>
            <w:shd w:val="clear" w:color="auto" w:fill="F4F7FB"/>
          </w:tcPr>
          <w:p>
            <w:r/>
            <w:r>
              <w:rPr>
                <w:rFonts w:ascii="Calibri" w:hAnsi="Calibri"/>
                <w:sz w:val="20"/>
              </w:rPr>
              <w:t>+$0.4B</w:t>
            </w:r>
          </w:p>
        </w:tc>
      </w:tr>
      <w:tr>
        <w:tc>
          <w:tcPr>
            <w:tcW w:type="dxa" w:w="3600"/>
          </w:tcPr>
          <w:p>
            <w:r/>
            <w:r>
              <w:rPr>
                <w:rFonts w:ascii="Calibri" w:hAnsi="Calibri"/>
                <w:sz w:val="20"/>
              </w:rPr>
              <w:t>Total Debt</w:t>
            </w:r>
          </w:p>
        </w:tc>
        <w:tc>
          <w:tcPr>
            <w:tcW w:type="dxa" w:w="1872"/>
          </w:tcPr>
          <w:p>
            <w:r/>
            <w:r>
              <w:rPr>
                <w:rFonts w:ascii="Calibri" w:hAnsi="Calibri"/>
                <w:sz w:val="20"/>
              </w:rPr>
              <w:t>$57.3B</w:t>
            </w:r>
          </w:p>
        </w:tc>
        <w:tc>
          <w:tcPr>
            <w:tcW w:type="dxa" w:w="2160"/>
          </w:tcPr>
          <w:p>
            <w:r/>
            <w:r>
              <w:rPr>
                <w:rFonts w:ascii="Calibri" w:hAnsi="Calibri"/>
                <w:sz w:val="20"/>
              </w:rPr>
              <w:t>$58.4B (YE'25)</w:t>
            </w:r>
          </w:p>
        </w:tc>
        <w:tc>
          <w:tcPr>
            <w:tcW w:type="dxa" w:w="1440"/>
          </w:tcPr>
          <w:p>
            <w:r/>
            <w:r>
              <w:rPr>
                <w:rFonts w:ascii="Calibri" w:hAnsi="Calibri"/>
                <w:sz w:val="20"/>
              </w:rPr>
              <w:t>($1.1B)</w:t>
            </w:r>
          </w:p>
        </w:tc>
      </w:tr>
      <w:tr>
        <w:tc>
          <w:tcPr>
            <w:tcW w:type="dxa" w:w="3600"/>
            <w:shd w:val="clear" w:color="auto" w:fill="F4F7FB"/>
          </w:tcPr>
          <w:p>
            <w:r/>
            <w:r>
              <w:rPr>
                <w:rFonts w:ascii="Calibri" w:hAnsi="Calibri"/>
                <w:sz w:val="20"/>
              </w:rPr>
              <w:t>Net Debt</w:t>
            </w:r>
          </w:p>
        </w:tc>
        <w:tc>
          <w:tcPr>
            <w:tcW w:type="dxa" w:w="1872"/>
            <w:shd w:val="clear" w:color="auto" w:fill="F4F7FB"/>
          </w:tcPr>
          <w:p>
            <w:r/>
            <w:r>
              <w:rPr>
                <w:rFonts w:ascii="Calibri" w:hAnsi="Calibri"/>
                <w:sz w:val="20"/>
              </w:rPr>
              <w:t>$45.3B</w:t>
            </w:r>
          </w:p>
        </w:tc>
        <w:tc>
          <w:tcPr>
            <w:tcW w:type="dxa" w:w="2160"/>
            <w:shd w:val="clear" w:color="auto" w:fill="F4F7FB"/>
          </w:tcPr>
          <w:p>
            <w:r/>
            <w:r>
              <w:rPr>
                <w:rFonts w:ascii="Calibri" w:hAnsi="Calibri"/>
                <w:sz w:val="20"/>
              </w:rPr>
              <w:t>$46.8B (YE'25)</w:t>
            </w:r>
          </w:p>
        </w:tc>
        <w:tc>
          <w:tcPr>
            <w:tcW w:type="dxa" w:w="1440"/>
            <w:shd w:val="clear" w:color="auto" w:fill="F4F7FB"/>
          </w:tcPr>
          <w:p>
            <w:r/>
            <w:r>
              <w:rPr>
                <w:rFonts w:ascii="Calibri" w:hAnsi="Calibri"/>
                <w:sz w:val="20"/>
              </w:rPr>
              <w:t>($1.5B)</w:t>
            </w:r>
          </w:p>
        </w:tc>
      </w:tr>
      <w:tr>
        <w:tc>
          <w:tcPr>
            <w:tcW w:type="dxa" w:w="3600"/>
          </w:tcPr>
          <w:p>
            <w:r/>
            <w:r>
              <w:rPr>
                <w:rFonts w:ascii="Calibri" w:hAnsi="Calibri"/>
                <w:sz w:val="20"/>
              </w:rPr>
              <w:t>Quarterly Dividend / Share</w:t>
            </w:r>
          </w:p>
        </w:tc>
        <w:tc>
          <w:tcPr>
            <w:tcW w:type="dxa" w:w="1872"/>
          </w:tcPr>
          <w:p>
            <w:r/>
            <w:r>
              <w:rPr>
                <w:rFonts w:ascii="Calibri" w:hAnsi="Calibri"/>
                <w:sz w:val="20"/>
              </w:rPr>
              <w:t>$2.52</w:t>
            </w:r>
          </w:p>
        </w:tc>
        <w:tc>
          <w:tcPr>
            <w:tcW w:type="dxa" w:w="2160"/>
          </w:tcPr>
          <w:p>
            <w:r/>
            <w:r>
              <w:rPr>
                <w:rFonts w:ascii="Calibri" w:hAnsi="Calibri"/>
                <w:sz w:val="20"/>
              </w:rPr>
              <w:t>$2.38</w:t>
            </w:r>
          </w:p>
        </w:tc>
        <w:tc>
          <w:tcPr>
            <w:tcW w:type="dxa" w:w="1440"/>
          </w:tcPr>
          <w:p>
            <w:r/>
            <w:r>
              <w:rPr>
                <w:rFonts w:ascii="Calibri" w:hAnsi="Calibri"/>
                <w:sz w:val="20"/>
              </w:rPr>
              <w:t>+5.9%</w:t>
            </w:r>
          </w:p>
        </w:tc>
      </w:tr>
      <w:tr>
        <w:tc>
          <w:tcPr>
            <w:tcW w:type="dxa" w:w="3600"/>
            <w:shd w:val="clear" w:color="auto" w:fill="F4F7FB"/>
          </w:tcPr>
          <w:p>
            <w:r/>
            <w:r>
              <w:rPr>
                <w:rFonts w:ascii="Calibri" w:hAnsi="Calibri"/>
                <w:sz w:val="20"/>
              </w:rPr>
              <w:t>Buyback</w:t>
            </w:r>
          </w:p>
        </w:tc>
        <w:tc>
          <w:tcPr>
            <w:tcW w:type="dxa" w:w="1872"/>
            <w:shd w:val="clear" w:color="auto" w:fill="F4F7FB"/>
          </w:tcPr>
          <w:p>
            <w:r/>
            <w:r>
              <w:rPr>
                <w:rFonts w:ascii="Calibri" w:hAnsi="Calibri"/>
                <w:sz w:val="20"/>
              </w:rPr>
              <w:t>$0</w:t>
            </w:r>
          </w:p>
        </w:tc>
        <w:tc>
          <w:tcPr>
            <w:tcW w:type="dxa" w:w="2160"/>
            <w:shd w:val="clear" w:color="auto" w:fill="F4F7FB"/>
          </w:tcPr>
          <w:p>
            <w:r/>
            <w:r>
              <w:rPr>
                <w:rFonts w:ascii="Calibri" w:hAnsi="Calibri"/>
                <w:sz w:val="20"/>
              </w:rPr>
              <w:t>$0</w:t>
            </w:r>
          </w:p>
        </w:tc>
        <w:tc>
          <w:tcPr>
            <w:tcW w:type="dxa" w:w="1440"/>
            <w:shd w:val="clear" w:color="auto" w:fill="F4F7FB"/>
          </w:tcPr>
          <w:p>
            <w:r/>
            <w:r>
              <w:rPr>
                <w:rFonts w:ascii="Calibri" w:hAnsi="Calibri"/>
                <w:sz w:val="20"/>
              </w:rPr>
              <w:t>Paused for de-leverage</w:t>
            </w:r>
          </w:p>
        </w:tc>
      </w:tr>
    </w:tbl>
    <w:p>
      <w:r>
        <w:br w:type="page"/>
      </w:r>
    </w:p>
    <w:p>
      <w:pPr>
        <w:spacing w:before="280" w:after="160"/>
      </w:pPr>
      <w:r>
        <w:rPr>
          <w:rFonts w:ascii="Calibri" w:hAnsi="Calibri"/>
          <w:b/>
          <w:color w:val="0B2C5C"/>
          <w:sz w:val="36"/>
        </w:rPr>
        <w:t>Guidance &amp; Estimate Revisions</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304"/>
            <w:shd w:val="clear" w:color="auto" w:fill="0B2C5C"/>
          </w:tcPr>
          <w:p>
            <w:r/>
            <w:r>
              <w:rPr>
                <w:rFonts w:ascii="Calibri" w:hAnsi="Calibri"/>
                <w:b/>
                <w:color w:val="FFFFFF"/>
                <w:sz w:val="20"/>
              </w:rPr>
              <w:t>Metric</w:t>
            </w:r>
          </w:p>
        </w:tc>
        <w:tc>
          <w:tcPr>
            <w:tcW w:type="dxa" w:w="2592"/>
            <w:shd w:val="clear" w:color="auto" w:fill="0B2C5C"/>
          </w:tcPr>
          <w:p>
            <w:r/>
            <w:r>
              <w:rPr>
                <w:rFonts w:ascii="Calibri" w:hAnsi="Calibri"/>
                <w:b/>
                <w:color w:val="FFFFFF"/>
                <w:sz w:val="20"/>
              </w:rPr>
              <w:t>Prior 2026 Guidance</w:t>
            </w:r>
          </w:p>
        </w:tc>
        <w:tc>
          <w:tcPr>
            <w:tcW w:type="dxa" w:w="2880"/>
            <w:shd w:val="clear" w:color="auto" w:fill="0B2C5C"/>
          </w:tcPr>
          <w:p>
            <w:r/>
            <w:r>
              <w:rPr>
                <w:rFonts w:ascii="Calibri" w:hAnsi="Calibri"/>
                <w:b/>
                <w:color w:val="FFFFFF"/>
                <w:sz w:val="20"/>
              </w:rPr>
              <w:t>Updated 2026 Guidance</w:t>
            </w:r>
          </w:p>
        </w:tc>
        <w:tc>
          <w:tcPr>
            <w:tcW w:type="dxa" w:w="2160"/>
            <w:shd w:val="clear" w:color="auto" w:fill="0B2C5C"/>
          </w:tcPr>
          <w:p>
            <w:r/>
            <w:r>
              <w:rPr>
                <w:rFonts w:ascii="Calibri" w:hAnsi="Calibri"/>
                <w:b/>
                <w:color w:val="FFFFFF"/>
                <w:sz w:val="20"/>
              </w:rPr>
              <w:t>Change</w:t>
            </w:r>
          </w:p>
        </w:tc>
      </w:tr>
      <w:tr>
        <w:tc>
          <w:tcPr>
            <w:tcW w:type="dxa" w:w="2304"/>
          </w:tcPr>
          <w:p>
            <w:r/>
            <w:r>
              <w:rPr>
                <w:rFonts w:ascii="Calibri" w:hAnsi="Calibri"/>
                <w:sz w:val="20"/>
              </w:rPr>
              <w:t>Total Revenue</w:t>
            </w:r>
          </w:p>
        </w:tc>
        <w:tc>
          <w:tcPr>
            <w:tcW w:type="dxa" w:w="2592"/>
          </w:tcPr>
          <w:p>
            <w:r/>
            <w:r>
              <w:rPr>
                <w:rFonts w:ascii="Calibri" w:hAnsi="Calibri"/>
                <w:sz w:val="20"/>
              </w:rPr>
              <w:t>~$36.7B - $38.0B</w:t>
            </w:r>
          </w:p>
        </w:tc>
        <w:tc>
          <w:tcPr>
            <w:tcW w:type="dxa" w:w="2880"/>
          </w:tcPr>
          <w:p>
            <w:r/>
            <w:r>
              <w:rPr>
                <w:rFonts w:ascii="Calibri" w:hAnsi="Calibri"/>
                <w:sz w:val="20"/>
              </w:rPr>
              <w:t>$37.1B - $38.5B</w:t>
            </w:r>
          </w:p>
        </w:tc>
        <w:tc>
          <w:tcPr>
            <w:tcW w:type="dxa" w:w="2160"/>
          </w:tcPr>
          <w:p>
            <w:r/>
            <w:r>
              <w:rPr>
                <w:rFonts w:ascii="Calibri" w:hAnsi="Calibri"/>
                <w:sz w:val="20"/>
              </w:rPr>
              <w:t>+$0.5B midpoint</w:t>
            </w:r>
          </w:p>
        </w:tc>
      </w:tr>
      <w:tr>
        <w:tc>
          <w:tcPr>
            <w:tcW w:type="dxa" w:w="2304"/>
            <w:shd w:val="clear" w:color="auto" w:fill="F4F7FB"/>
          </w:tcPr>
          <w:p>
            <w:r/>
            <w:r>
              <w:rPr>
                <w:rFonts w:ascii="Calibri" w:hAnsi="Calibri"/>
                <w:sz w:val="20"/>
              </w:rPr>
              <w:t>Non-GAAP EPS</w:t>
            </w:r>
          </w:p>
        </w:tc>
        <w:tc>
          <w:tcPr>
            <w:tcW w:type="dxa" w:w="2592"/>
            <w:shd w:val="clear" w:color="auto" w:fill="F4F7FB"/>
          </w:tcPr>
          <w:p>
            <w:r/>
            <w:r>
              <w:rPr>
                <w:rFonts w:ascii="Calibri" w:hAnsi="Calibri"/>
                <w:sz w:val="20"/>
              </w:rPr>
              <w:t>$20.95 - $22.45</w:t>
            </w:r>
          </w:p>
        </w:tc>
        <w:tc>
          <w:tcPr>
            <w:tcW w:type="dxa" w:w="2880"/>
            <w:shd w:val="clear" w:color="auto" w:fill="F4F7FB"/>
          </w:tcPr>
          <w:p>
            <w:r/>
            <w:r>
              <w:rPr>
                <w:rFonts w:ascii="Calibri" w:hAnsi="Calibri"/>
                <w:sz w:val="20"/>
              </w:rPr>
              <w:t>$21.70 - $23.10</w:t>
            </w:r>
          </w:p>
        </w:tc>
        <w:tc>
          <w:tcPr>
            <w:tcW w:type="dxa" w:w="2160"/>
            <w:shd w:val="clear" w:color="auto" w:fill="F4F7FB"/>
          </w:tcPr>
          <w:p>
            <w:r/>
            <w:r>
              <w:rPr>
                <w:rFonts w:ascii="Calibri" w:hAnsi="Calibri"/>
                <w:sz w:val="20"/>
              </w:rPr>
              <w:t>+$0.65 midpoint</w:t>
            </w:r>
          </w:p>
        </w:tc>
      </w:tr>
      <w:tr>
        <w:tc>
          <w:tcPr>
            <w:tcW w:type="dxa" w:w="2304"/>
          </w:tcPr>
          <w:p>
            <w:r/>
            <w:r>
              <w:rPr>
                <w:rFonts w:ascii="Calibri" w:hAnsi="Calibri"/>
                <w:sz w:val="20"/>
              </w:rPr>
              <w:t>GAAP EPS</w:t>
            </w:r>
          </w:p>
        </w:tc>
        <w:tc>
          <w:tcPr>
            <w:tcW w:type="dxa" w:w="2592"/>
          </w:tcPr>
          <w:p>
            <w:r/>
            <w:r>
              <w:rPr>
                <w:rFonts w:ascii="Calibri" w:hAnsi="Calibri"/>
                <w:sz w:val="20"/>
              </w:rPr>
              <w:t>$15.00 - $16.55</w:t>
            </w:r>
          </w:p>
        </w:tc>
        <w:tc>
          <w:tcPr>
            <w:tcW w:type="dxa" w:w="2880"/>
          </w:tcPr>
          <w:p>
            <w:r/>
            <w:r>
              <w:rPr>
                <w:rFonts w:ascii="Calibri" w:hAnsi="Calibri"/>
                <w:sz w:val="20"/>
              </w:rPr>
              <w:t>$15.62 - $17.10</w:t>
            </w:r>
          </w:p>
        </w:tc>
        <w:tc>
          <w:tcPr>
            <w:tcW w:type="dxa" w:w="2160"/>
          </w:tcPr>
          <w:p>
            <w:r/>
            <w:r>
              <w:rPr>
                <w:rFonts w:ascii="Calibri" w:hAnsi="Calibri"/>
                <w:sz w:val="20"/>
              </w:rPr>
              <w:t>+$0.59 midpoint</w:t>
            </w:r>
          </w:p>
        </w:tc>
      </w:tr>
      <w:tr>
        <w:tc>
          <w:tcPr>
            <w:tcW w:type="dxa" w:w="2304"/>
            <w:shd w:val="clear" w:color="auto" w:fill="F4F7FB"/>
          </w:tcPr>
          <w:p>
            <w:r/>
            <w:r>
              <w:rPr>
                <w:rFonts w:ascii="Calibri" w:hAnsi="Calibri"/>
                <w:sz w:val="20"/>
              </w:rPr>
              <w:t>Non-GAAP Op. Margin</w:t>
            </w:r>
          </w:p>
        </w:tc>
        <w:tc>
          <w:tcPr>
            <w:tcW w:type="dxa" w:w="2592"/>
            <w:shd w:val="clear" w:color="auto" w:fill="F4F7FB"/>
          </w:tcPr>
          <w:p>
            <w:r/>
            <w:r>
              <w:rPr>
                <w:rFonts w:ascii="Calibri" w:hAnsi="Calibri"/>
                <w:sz w:val="20"/>
              </w:rPr>
              <w:t>44.5% - 46.0%</w:t>
            </w:r>
          </w:p>
        </w:tc>
        <w:tc>
          <w:tcPr>
            <w:tcW w:type="dxa" w:w="2880"/>
            <w:shd w:val="clear" w:color="auto" w:fill="F4F7FB"/>
          </w:tcPr>
          <w:p>
            <w:r/>
            <w:r>
              <w:rPr>
                <w:rFonts w:ascii="Calibri" w:hAnsi="Calibri"/>
                <w:sz w:val="20"/>
              </w:rPr>
              <w:t>45.0% - 46.0%</w:t>
            </w:r>
          </w:p>
        </w:tc>
        <w:tc>
          <w:tcPr>
            <w:tcW w:type="dxa" w:w="2160"/>
            <w:shd w:val="clear" w:color="auto" w:fill="F4F7FB"/>
          </w:tcPr>
          <w:p>
            <w:r/>
            <w:r>
              <w:rPr>
                <w:rFonts w:ascii="Calibri" w:hAnsi="Calibri"/>
                <w:sz w:val="20"/>
              </w:rPr>
              <w:t>Tightened up</w:t>
            </w:r>
          </w:p>
        </w:tc>
      </w:tr>
      <w:tr>
        <w:tc>
          <w:tcPr>
            <w:tcW w:type="dxa" w:w="2304"/>
          </w:tcPr>
          <w:p>
            <w:r/>
            <w:r>
              <w:rPr>
                <w:rFonts w:ascii="Calibri" w:hAnsi="Calibri"/>
                <w:sz w:val="20"/>
              </w:rPr>
              <w:t>Non-GAAP Tax Rate</w:t>
            </w:r>
          </w:p>
        </w:tc>
        <w:tc>
          <w:tcPr>
            <w:tcW w:type="dxa" w:w="2592"/>
          </w:tcPr>
          <w:p>
            <w:r/>
            <w:r>
              <w:rPr>
                <w:rFonts w:ascii="Calibri" w:hAnsi="Calibri"/>
                <w:sz w:val="20"/>
              </w:rPr>
              <w:t>15.0% - 16.5%</w:t>
            </w:r>
          </w:p>
        </w:tc>
        <w:tc>
          <w:tcPr>
            <w:tcW w:type="dxa" w:w="2880"/>
          </w:tcPr>
          <w:p>
            <w:r/>
            <w:r>
              <w:rPr>
                <w:rFonts w:ascii="Calibri" w:hAnsi="Calibri"/>
                <w:sz w:val="20"/>
              </w:rPr>
              <w:t>15.0% - 16.5%</w:t>
            </w:r>
          </w:p>
        </w:tc>
        <w:tc>
          <w:tcPr>
            <w:tcW w:type="dxa" w:w="2160"/>
          </w:tcPr>
          <w:p>
            <w:r/>
            <w:r>
              <w:rPr>
                <w:rFonts w:ascii="Calibri" w:hAnsi="Calibri"/>
                <w:sz w:val="20"/>
              </w:rPr>
              <w:t>Unchanged</w:t>
            </w:r>
          </w:p>
        </w:tc>
      </w:tr>
      <w:tr>
        <w:tc>
          <w:tcPr>
            <w:tcW w:type="dxa" w:w="2304"/>
            <w:shd w:val="clear" w:color="auto" w:fill="F4F7FB"/>
          </w:tcPr>
          <w:p>
            <w:r/>
            <w:r>
              <w:rPr>
                <w:rFonts w:ascii="Calibri" w:hAnsi="Calibri"/>
                <w:sz w:val="20"/>
              </w:rPr>
              <w:t>GAAP Tax Rate</w:t>
            </w:r>
          </w:p>
        </w:tc>
        <w:tc>
          <w:tcPr>
            <w:tcW w:type="dxa" w:w="2592"/>
            <w:shd w:val="clear" w:color="auto" w:fill="F4F7FB"/>
          </w:tcPr>
          <w:p>
            <w:r/>
            <w:r>
              <w:rPr>
                <w:rFonts w:ascii="Calibri" w:hAnsi="Calibri"/>
                <w:sz w:val="20"/>
              </w:rPr>
              <w:t>14.5% - 16.0%</w:t>
            </w:r>
          </w:p>
        </w:tc>
        <w:tc>
          <w:tcPr>
            <w:tcW w:type="dxa" w:w="2880"/>
            <w:shd w:val="clear" w:color="auto" w:fill="F4F7FB"/>
          </w:tcPr>
          <w:p>
            <w:r/>
            <w:r>
              <w:rPr>
                <w:rFonts w:ascii="Calibri" w:hAnsi="Calibri"/>
                <w:sz w:val="20"/>
              </w:rPr>
              <w:t>14.5% - 16.0%</w:t>
            </w:r>
          </w:p>
        </w:tc>
        <w:tc>
          <w:tcPr>
            <w:tcW w:type="dxa" w:w="2160"/>
            <w:shd w:val="clear" w:color="auto" w:fill="F4F7FB"/>
          </w:tcPr>
          <w:p>
            <w:r/>
            <w:r>
              <w:rPr>
                <w:rFonts w:ascii="Calibri" w:hAnsi="Calibri"/>
                <w:sz w:val="20"/>
              </w:rPr>
              <w:t>Unchanged</w:t>
            </w:r>
          </w:p>
        </w:tc>
      </w:tr>
      <w:tr>
        <w:tc>
          <w:tcPr>
            <w:tcW w:type="dxa" w:w="2304"/>
          </w:tcPr>
          <w:p>
            <w:r/>
            <w:r>
              <w:rPr>
                <w:rFonts w:ascii="Calibri" w:hAnsi="Calibri"/>
                <w:sz w:val="20"/>
              </w:rPr>
              <w:t>Capital Expenditure</w:t>
            </w:r>
          </w:p>
        </w:tc>
        <w:tc>
          <w:tcPr>
            <w:tcW w:type="dxa" w:w="2592"/>
          </w:tcPr>
          <w:p>
            <w:r/>
            <w:r>
              <w:rPr>
                <w:rFonts w:ascii="Calibri" w:hAnsi="Calibri"/>
                <w:sz w:val="20"/>
              </w:rPr>
              <w:t>~$2.6B</w:t>
            </w:r>
          </w:p>
        </w:tc>
        <w:tc>
          <w:tcPr>
            <w:tcW w:type="dxa" w:w="2880"/>
          </w:tcPr>
          <w:p>
            <w:r/>
            <w:r>
              <w:rPr>
                <w:rFonts w:ascii="Calibri" w:hAnsi="Calibri"/>
                <w:sz w:val="20"/>
              </w:rPr>
              <w:t>~$2.6B</w:t>
            </w:r>
          </w:p>
        </w:tc>
        <w:tc>
          <w:tcPr>
            <w:tcW w:type="dxa" w:w="2160"/>
          </w:tcPr>
          <w:p>
            <w:r/>
            <w:r>
              <w:rPr>
                <w:rFonts w:ascii="Calibri" w:hAnsi="Calibri"/>
                <w:sz w:val="20"/>
              </w:rPr>
              <w:t>Unchanged</w:t>
            </w:r>
          </w:p>
        </w:tc>
      </w:tr>
      <w:tr>
        <w:tc>
          <w:tcPr>
            <w:tcW w:type="dxa" w:w="2304"/>
            <w:shd w:val="clear" w:color="auto" w:fill="F4F7FB"/>
          </w:tcPr>
          <w:p>
            <w:r/>
            <w:r>
              <w:rPr>
                <w:rFonts w:ascii="Calibri" w:hAnsi="Calibri"/>
                <w:sz w:val="20"/>
              </w:rPr>
              <w:t>Share Repurchase Cap</w:t>
            </w:r>
          </w:p>
        </w:tc>
        <w:tc>
          <w:tcPr>
            <w:tcW w:type="dxa" w:w="2592"/>
            <w:shd w:val="clear" w:color="auto" w:fill="F4F7FB"/>
          </w:tcPr>
          <w:p>
            <w:r/>
            <w:r>
              <w:rPr>
                <w:rFonts w:ascii="Calibri" w:hAnsi="Calibri"/>
                <w:sz w:val="20"/>
              </w:rPr>
              <w:t>Up to $3.0B</w:t>
            </w:r>
          </w:p>
        </w:tc>
        <w:tc>
          <w:tcPr>
            <w:tcW w:type="dxa" w:w="2880"/>
            <w:shd w:val="clear" w:color="auto" w:fill="F4F7FB"/>
          </w:tcPr>
          <w:p>
            <w:r/>
            <w:r>
              <w:rPr>
                <w:rFonts w:ascii="Calibri" w:hAnsi="Calibri"/>
                <w:sz w:val="20"/>
              </w:rPr>
              <w:t>Up to $3.0B</w:t>
            </w:r>
          </w:p>
        </w:tc>
        <w:tc>
          <w:tcPr>
            <w:tcW w:type="dxa" w:w="2160"/>
            <w:shd w:val="clear" w:color="auto" w:fill="F4F7FB"/>
          </w:tcPr>
          <w:p>
            <w:r/>
            <w:r>
              <w:rPr>
                <w:rFonts w:ascii="Calibri" w:hAnsi="Calibri"/>
                <w:sz w:val="20"/>
              </w:rPr>
              <w:t>Unchanged (none in Q1)</w:t>
            </w:r>
          </w:p>
        </w:tc>
      </w:tr>
    </w:tbl>
    <w:p>
      <w:pPr>
        <w:spacing w:after="80"/>
      </w:pPr>
      <w:r>
        <w:rPr>
          <w:rFonts w:ascii="Calibri" w:hAnsi="Calibri"/>
          <w:b w:val="0"/>
          <w:i/>
          <w:color w:val="555F6B"/>
          <w:sz w:val="18"/>
        </w:rPr>
        <w:t>Source: Company Q1 2026 press release &amp; earnings call. Prior figures reflect January 2026 initial guidance issued with Q4 2025 results.</w:t>
      </w:r>
    </w:p>
    <w:p>
      <w:pPr>
        <w:spacing w:before="200" w:after="80"/>
      </w:pPr>
      <w:r>
        <w:rPr>
          <w:rFonts w:ascii="Calibri" w:hAnsi="Calibri"/>
          <w:b/>
          <w:color w:val="0B2C5C"/>
          <w:sz w:val="28"/>
        </w:rPr>
        <w:t>Our Updated Estimates</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448"/>
            <w:shd w:val="clear" w:color="auto" w:fill="0B2C5C"/>
          </w:tcPr>
          <w:p>
            <w:r/>
            <w:r>
              <w:rPr>
                <w:rFonts w:ascii="Calibri" w:hAnsi="Calibri"/>
                <w:b/>
                <w:color w:val="FFFFFF"/>
                <w:sz w:val="20"/>
              </w:rPr>
              <w:t>Metric</w:t>
            </w:r>
          </w:p>
        </w:tc>
        <w:tc>
          <w:tcPr>
            <w:tcW w:type="dxa" w:w="2016"/>
            <w:shd w:val="clear" w:color="auto" w:fill="0B2C5C"/>
          </w:tcPr>
          <w:p>
            <w:r/>
            <w:r>
              <w:rPr>
                <w:rFonts w:ascii="Calibri" w:hAnsi="Calibri"/>
                <w:b/>
                <w:color w:val="FFFFFF"/>
                <w:sz w:val="20"/>
              </w:rPr>
              <w:t>Prior FY26E</w:t>
            </w:r>
          </w:p>
        </w:tc>
        <w:tc>
          <w:tcPr>
            <w:tcW w:type="dxa" w:w="2016"/>
            <w:shd w:val="clear" w:color="auto" w:fill="0B2C5C"/>
          </w:tcPr>
          <w:p>
            <w:r/>
            <w:r>
              <w:rPr>
                <w:rFonts w:ascii="Calibri" w:hAnsi="Calibri"/>
                <w:b/>
                <w:color w:val="FFFFFF"/>
                <w:sz w:val="20"/>
              </w:rPr>
              <w:t>New FY26E</w:t>
            </w:r>
          </w:p>
        </w:tc>
        <w:tc>
          <w:tcPr>
            <w:tcW w:type="dxa" w:w="2016"/>
            <w:shd w:val="clear" w:color="auto" w:fill="0B2C5C"/>
          </w:tcPr>
          <w:p>
            <w:r/>
            <w:r>
              <w:rPr>
                <w:rFonts w:ascii="Calibri" w:hAnsi="Calibri"/>
                <w:b/>
                <w:color w:val="FFFFFF"/>
                <w:sz w:val="20"/>
              </w:rPr>
              <w:t>FY27E</w:t>
            </w:r>
          </w:p>
        </w:tc>
      </w:tr>
      <w:tr>
        <w:tc>
          <w:tcPr>
            <w:tcW w:type="dxa" w:w="2448"/>
          </w:tcPr>
          <w:p>
            <w:r/>
            <w:r>
              <w:rPr>
                <w:rFonts w:ascii="Calibri" w:hAnsi="Calibri"/>
                <w:sz w:val="20"/>
              </w:rPr>
              <w:t>Revenue</w:t>
            </w:r>
          </w:p>
        </w:tc>
        <w:tc>
          <w:tcPr>
            <w:tcW w:type="dxa" w:w="2016"/>
          </w:tcPr>
          <w:p>
            <w:r/>
            <w:r>
              <w:rPr>
                <w:rFonts w:ascii="Calibri" w:hAnsi="Calibri"/>
                <w:sz w:val="20"/>
              </w:rPr>
              <w:t>$37.4B</w:t>
            </w:r>
          </w:p>
        </w:tc>
        <w:tc>
          <w:tcPr>
            <w:tcW w:type="dxa" w:w="2016"/>
          </w:tcPr>
          <w:p>
            <w:r/>
            <w:r>
              <w:rPr>
                <w:rFonts w:ascii="Calibri" w:hAnsi="Calibri"/>
                <w:sz w:val="20"/>
              </w:rPr>
              <w:t>$37.9B</w:t>
            </w:r>
          </w:p>
        </w:tc>
        <w:tc>
          <w:tcPr>
            <w:tcW w:type="dxa" w:w="2016"/>
          </w:tcPr>
          <w:p>
            <w:r/>
            <w:r>
              <w:rPr>
                <w:rFonts w:ascii="Calibri" w:hAnsi="Calibri"/>
                <w:sz w:val="20"/>
              </w:rPr>
              <w:t>$40.2B</w:t>
            </w:r>
          </w:p>
        </w:tc>
      </w:tr>
      <w:tr>
        <w:tc>
          <w:tcPr>
            <w:tcW w:type="dxa" w:w="2448"/>
            <w:shd w:val="clear" w:color="auto" w:fill="F4F7FB"/>
          </w:tcPr>
          <w:p>
            <w:r/>
            <w:r>
              <w:rPr>
                <w:rFonts w:ascii="Calibri" w:hAnsi="Calibri"/>
                <w:sz w:val="20"/>
              </w:rPr>
              <w:t>Revenue Growth</w:t>
            </w:r>
          </w:p>
        </w:tc>
        <w:tc>
          <w:tcPr>
            <w:tcW w:type="dxa" w:w="2016"/>
            <w:shd w:val="clear" w:color="auto" w:fill="F4F7FB"/>
          </w:tcPr>
          <w:p>
            <w:r/>
            <w:r>
              <w:rPr>
                <w:rFonts w:ascii="Calibri" w:hAnsi="Calibri"/>
                <w:sz w:val="20"/>
              </w:rPr>
              <w:t>+5.6%</w:t>
            </w:r>
          </w:p>
        </w:tc>
        <w:tc>
          <w:tcPr>
            <w:tcW w:type="dxa" w:w="2016"/>
            <w:shd w:val="clear" w:color="auto" w:fill="F4F7FB"/>
          </w:tcPr>
          <w:p>
            <w:r/>
            <w:r>
              <w:rPr>
                <w:rFonts w:ascii="Calibri" w:hAnsi="Calibri"/>
                <w:sz w:val="20"/>
              </w:rPr>
              <w:t>+6.4%</w:t>
            </w:r>
          </w:p>
        </w:tc>
        <w:tc>
          <w:tcPr>
            <w:tcW w:type="dxa" w:w="2016"/>
            <w:shd w:val="clear" w:color="auto" w:fill="F4F7FB"/>
          </w:tcPr>
          <w:p>
            <w:r/>
            <w:r>
              <w:rPr>
                <w:rFonts w:ascii="Calibri" w:hAnsi="Calibri"/>
                <w:sz w:val="20"/>
              </w:rPr>
              <w:t>+6.1%</w:t>
            </w:r>
          </w:p>
        </w:tc>
      </w:tr>
      <w:tr>
        <w:tc>
          <w:tcPr>
            <w:tcW w:type="dxa" w:w="2448"/>
          </w:tcPr>
          <w:p>
            <w:r/>
            <w:r>
              <w:rPr>
                <w:rFonts w:ascii="Calibri" w:hAnsi="Calibri"/>
                <w:sz w:val="20"/>
              </w:rPr>
              <w:t>Non-GAAP EPS</w:t>
            </w:r>
          </w:p>
        </w:tc>
        <w:tc>
          <w:tcPr>
            <w:tcW w:type="dxa" w:w="2016"/>
          </w:tcPr>
          <w:p>
            <w:r/>
            <w:r>
              <w:rPr>
                <w:rFonts w:ascii="Calibri" w:hAnsi="Calibri"/>
                <w:sz w:val="20"/>
              </w:rPr>
              <w:t>$22.20</w:t>
            </w:r>
          </w:p>
        </w:tc>
        <w:tc>
          <w:tcPr>
            <w:tcW w:type="dxa" w:w="2016"/>
          </w:tcPr>
          <w:p>
            <w:r/>
            <w:r>
              <w:rPr>
                <w:rFonts w:ascii="Calibri" w:hAnsi="Calibri"/>
                <w:sz w:val="20"/>
              </w:rPr>
              <w:t>$22.65</w:t>
            </w:r>
          </w:p>
        </w:tc>
        <w:tc>
          <w:tcPr>
            <w:tcW w:type="dxa" w:w="2016"/>
          </w:tcPr>
          <w:p>
            <w:r/>
            <w:r>
              <w:rPr>
                <w:rFonts w:ascii="Calibri" w:hAnsi="Calibri"/>
                <w:sz w:val="20"/>
              </w:rPr>
              <w:t>$25.10</w:t>
            </w:r>
          </w:p>
        </w:tc>
      </w:tr>
      <w:tr>
        <w:tc>
          <w:tcPr>
            <w:tcW w:type="dxa" w:w="2448"/>
            <w:shd w:val="clear" w:color="auto" w:fill="F4F7FB"/>
          </w:tcPr>
          <w:p>
            <w:r/>
            <w:r>
              <w:rPr>
                <w:rFonts w:ascii="Calibri" w:hAnsi="Calibri"/>
                <w:sz w:val="20"/>
              </w:rPr>
              <w:t>GAAP EPS</w:t>
            </w:r>
          </w:p>
        </w:tc>
        <w:tc>
          <w:tcPr>
            <w:tcW w:type="dxa" w:w="2016"/>
            <w:shd w:val="clear" w:color="auto" w:fill="F4F7FB"/>
          </w:tcPr>
          <w:p>
            <w:r/>
            <w:r>
              <w:rPr>
                <w:rFonts w:ascii="Calibri" w:hAnsi="Calibri"/>
                <w:sz w:val="20"/>
              </w:rPr>
              <w:t>$16.10</w:t>
            </w:r>
          </w:p>
        </w:tc>
        <w:tc>
          <w:tcPr>
            <w:tcW w:type="dxa" w:w="2016"/>
            <w:shd w:val="clear" w:color="auto" w:fill="F4F7FB"/>
          </w:tcPr>
          <w:p>
            <w:r/>
            <w:r>
              <w:rPr>
                <w:rFonts w:ascii="Calibri" w:hAnsi="Calibri"/>
                <w:sz w:val="20"/>
              </w:rPr>
              <w:t>$16.50</w:t>
            </w:r>
          </w:p>
        </w:tc>
        <w:tc>
          <w:tcPr>
            <w:tcW w:type="dxa" w:w="2016"/>
            <w:shd w:val="clear" w:color="auto" w:fill="F4F7FB"/>
          </w:tcPr>
          <w:p>
            <w:r/>
            <w:r>
              <w:rPr>
                <w:rFonts w:ascii="Calibri" w:hAnsi="Calibri"/>
                <w:sz w:val="20"/>
              </w:rPr>
              <w:t>$19.00</w:t>
            </w:r>
          </w:p>
        </w:tc>
      </w:tr>
      <w:tr>
        <w:tc>
          <w:tcPr>
            <w:tcW w:type="dxa" w:w="2448"/>
          </w:tcPr>
          <w:p>
            <w:r/>
            <w:r>
              <w:rPr>
                <w:rFonts w:ascii="Calibri" w:hAnsi="Calibri"/>
                <w:sz w:val="20"/>
              </w:rPr>
              <w:t>Non-GAAP Op. Margin</w:t>
            </w:r>
          </w:p>
        </w:tc>
        <w:tc>
          <w:tcPr>
            <w:tcW w:type="dxa" w:w="2016"/>
          </w:tcPr>
          <w:p>
            <w:r/>
            <w:r>
              <w:rPr>
                <w:rFonts w:ascii="Calibri" w:hAnsi="Calibri"/>
                <w:sz w:val="20"/>
              </w:rPr>
              <w:t>45.5%</w:t>
            </w:r>
          </w:p>
        </w:tc>
        <w:tc>
          <w:tcPr>
            <w:tcW w:type="dxa" w:w="2016"/>
          </w:tcPr>
          <w:p>
            <w:r/>
            <w:r>
              <w:rPr>
                <w:rFonts w:ascii="Calibri" w:hAnsi="Calibri"/>
                <w:sz w:val="20"/>
              </w:rPr>
              <w:t>45.7%</w:t>
            </w:r>
          </w:p>
        </w:tc>
        <w:tc>
          <w:tcPr>
            <w:tcW w:type="dxa" w:w="2016"/>
          </w:tcPr>
          <w:p>
            <w:r/>
            <w:r>
              <w:rPr>
                <w:rFonts w:ascii="Calibri" w:hAnsi="Calibri"/>
                <w:sz w:val="20"/>
              </w:rPr>
              <w:t>46.5%</w:t>
            </w:r>
          </w:p>
        </w:tc>
      </w:tr>
      <w:tr>
        <w:tc>
          <w:tcPr>
            <w:tcW w:type="dxa" w:w="2448"/>
            <w:shd w:val="clear" w:color="auto" w:fill="F4F7FB"/>
          </w:tcPr>
          <w:p>
            <w:r/>
            <w:r>
              <w:rPr>
                <w:rFonts w:ascii="Calibri" w:hAnsi="Calibri"/>
                <w:sz w:val="20"/>
              </w:rPr>
              <w:t>Free Cash Flow</w:t>
            </w:r>
          </w:p>
        </w:tc>
        <w:tc>
          <w:tcPr>
            <w:tcW w:type="dxa" w:w="2016"/>
            <w:shd w:val="clear" w:color="auto" w:fill="F4F7FB"/>
          </w:tcPr>
          <w:p>
            <w:r/>
            <w:r>
              <w:rPr>
                <w:rFonts w:ascii="Calibri" w:hAnsi="Calibri"/>
                <w:sz w:val="20"/>
              </w:rPr>
              <w:t>$11.0B</w:t>
            </w:r>
          </w:p>
        </w:tc>
        <w:tc>
          <w:tcPr>
            <w:tcW w:type="dxa" w:w="2016"/>
            <w:shd w:val="clear" w:color="auto" w:fill="F4F7FB"/>
          </w:tcPr>
          <w:p>
            <w:r/>
            <w:r>
              <w:rPr>
                <w:rFonts w:ascii="Calibri" w:hAnsi="Calibri"/>
                <w:sz w:val="20"/>
              </w:rPr>
              <w:t>$11.5B</w:t>
            </w:r>
          </w:p>
        </w:tc>
        <w:tc>
          <w:tcPr>
            <w:tcW w:type="dxa" w:w="2016"/>
            <w:shd w:val="clear" w:color="auto" w:fill="F4F7FB"/>
          </w:tcPr>
          <w:p>
            <w:r/>
            <w:r>
              <w:rPr>
                <w:rFonts w:ascii="Calibri" w:hAnsi="Calibri"/>
                <w:sz w:val="20"/>
              </w:rPr>
              <w:t>$13.0B</w:t>
            </w:r>
          </w:p>
        </w:tc>
      </w:tr>
    </w:tbl>
    <w:p>
      <w:pPr>
        <w:spacing w:after="80"/>
      </w:pPr>
      <w:r>
        <w:rPr>
          <w:rFonts w:ascii="Calibri" w:hAnsi="Calibri"/>
          <w:b w:val="0"/>
          <w:i/>
          <w:color w:val="555F6B"/>
          <w:sz w:val="18"/>
        </w:rPr>
        <w:t>Source: Finance Index Research estimates. FY27E assumes MariTide regulatory clarity (Phase 3 readouts mid-late 2027), full-year run-rate of IMDELLTRA in 2L SCLC, and continued biosimilar portfolio expansion (BMRSA, BEKEMV, WEZLANA).</w:t>
      </w:r>
    </w:p>
    <w:p>
      <w:pPr>
        <w:spacing w:before="200" w:after="80"/>
      </w:pPr>
      <w:r>
        <w:rPr>
          <w:rFonts w:ascii="Calibri" w:hAnsi="Calibri"/>
          <w:b/>
          <w:color w:val="0B2C5C"/>
          <w:sz w:val="28"/>
        </w:rPr>
        <w:t>Key Operating Metrics</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3600"/>
            <w:shd w:val="clear" w:color="auto" w:fill="0B2C5C"/>
          </w:tcPr>
          <w:p>
            <w:r/>
            <w:r>
              <w:rPr>
                <w:rFonts w:ascii="Calibri" w:hAnsi="Calibri"/>
                <w:b/>
                <w:color w:val="FFFFFF"/>
                <w:sz w:val="20"/>
              </w:rPr>
              <w:t>KPI</w:t>
            </w:r>
          </w:p>
        </w:tc>
        <w:tc>
          <w:tcPr>
            <w:tcW w:type="dxa" w:w="1728"/>
            <w:shd w:val="clear" w:color="auto" w:fill="0B2C5C"/>
          </w:tcPr>
          <w:p>
            <w:r/>
            <w:r>
              <w:rPr>
                <w:rFonts w:ascii="Calibri" w:hAnsi="Calibri"/>
                <w:b/>
                <w:color w:val="FFFFFF"/>
                <w:sz w:val="20"/>
              </w:rPr>
              <w:t>Q1 2025</w:t>
            </w:r>
          </w:p>
        </w:tc>
        <w:tc>
          <w:tcPr>
            <w:tcW w:type="dxa" w:w="1728"/>
            <w:shd w:val="clear" w:color="auto" w:fill="0B2C5C"/>
          </w:tcPr>
          <w:p>
            <w:r/>
            <w:r>
              <w:rPr>
                <w:rFonts w:ascii="Calibri" w:hAnsi="Calibri"/>
                <w:b/>
                <w:color w:val="FFFFFF"/>
                <w:sz w:val="20"/>
              </w:rPr>
              <w:t>Q1 2026</w:t>
            </w:r>
          </w:p>
        </w:tc>
        <w:tc>
          <w:tcPr>
            <w:tcW w:type="dxa" w:w="1728"/>
            <w:shd w:val="clear" w:color="auto" w:fill="0B2C5C"/>
          </w:tcPr>
          <w:p>
            <w:r/>
            <w:r>
              <w:rPr>
                <w:rFonts w:ascii="Calibri" w:hAnsi="Calibri"/>
                <w:b/>
                <w:color w:val="FFFFFF"/>
                <w:sz w:val="20"/>
              </w:rPr>
              <w:t>YoY</w:t>
            </w:r>
          </w:p>
        </w:tc>
      </w:tr>
      <w:tr>
        <w:tc>
          <w:tcPr>
            <w:tcW w:type="dxa" w:w="3600"/>
          </w:tcPr>
          <w:p>
            <w:r/>
            <w:r>
              <w:rPr>
                <w:rFonts w:ascii="Calibri" w:hAnsi="Calibri"/>
                <w:sz w:val="20"/>
              </w:rPr>
              <w:t>Revenue ($B)</w:t>
            </w:r>
          </w:p>
        </w:tc>
        <w:tc>
          <w:tcPr>
            <w:tcW w:type="dxa" w:w="1728"/>
          </w:tcPr>
          <w:p>
            <w:r/>
            <w:r>
              <w:rPr>
                <w:rFonts w:ascii="Calibri" w:hAnsi="Calibri"/>
                <w:sz w:val="20"/>
              </w:rPr>
              <w:t>$8.13</w:t>
            </w:r>
          </w:p>
        </w:tc>
        <w:tc>
          <w:tcPr>
            <w:tcW w:type="dxa" w:w="1728"/>
          </w:tcPr>
          <w:p>
            <w:r/>
            <w:r>
              <w:rPr>
                <w:rFonts w:ascii="Calibri" w:hAnsi="Calibri"/>
                <w:sz w:val="20"/>
              </w:rPr>
              <w:t>$8.62</w:t>
            </w:r>
          </w:p>
        </w:tc>
        <w:tc>
          <w:tcPr>
            <w:tcW w:type="dxa" w:w="1728"/>
          </w:tcPr>
          <w:p>
            <w:r/>
            <w:r>
              <w:rPr>
                <w:rFonts w:ascii="Calibri" w:hAnsi="Calibri"/>
                <w:sz w:val="20"/>
              </w:rPr>
              <w:t>+6.0%</w:t>
            </w:r>
          </w:p>
        </w:tc>
      </w:tr>
      <w:tr>
        <w:tc>
          <w:tcPr>
            <w:tcW w:type="dxa" w:w="3600"/>
            <w:shd w:val="clear" w:color="auto" w:fill="F4F7FB"/>
          </w:tcPr>
          <w:p>
            <w:r/>
            <w:r>
              <w:rPr>
                <w:rFonts w:ascii="Calibri" w:hAnsi="Calibri"/>
                <w:sz w:val="20"/>
              </w:rPr>
              <w:t>Non-GAAP EPS</w:t>
            </w:r>
          </w:p>
        </w:tc>
        <w:tc>
          <w:tcPr>
            <w:tcW w:type="dxa" w:w="1728"/>
            <w:shd w:val="clear" w:color="auto" w:fill="F4F7FB"/>
          </w:tcPr>
          <w:p>
            <w:r/>
            <w:r>
              <w:rPr>
                <w:rFonts w:ascii="Calibri" w:hAnsi="Calibri"/>
                <w:sz w:val="20"/>
              </w:rPr>
              <w:t>$4.90</w:t>
            </w:r>
          </w:p>
        </w:tc>
        <w:tc>
          <w:tcPr>
            <w:tcW w:type="dxa" w:w="1728"/>
            <w:shd w:val="clear" w:color="auto" w:fill="F4F7FB"/>
          </w:tcPr>
          <w:p>
            <w:r/>
            <w:r>
              <w:rPr>
                <w:rFonts w:ascii="Calibri" w:hAnsi="Calibri"/>
                <w:sz w:val="20"/>
              </w:rPr>
              <w:t>$5.15</w:t>
            </w:r>
          </w:p>
        </w:tc>
        <w:tc>
          <w:tcPr>
            <w:tcW w:type="dxa" w:w="1728"/>
            <w:shd w:val="clear" w:color="auto" w:fill="F4F7FB"/>
          </w:tcPr>
          <w:p>
            <w:r/>
            <w:r>
              <w:rPr>
                <w:rFonts w:ascii="Calibri" w:hAnsi="Calibri"/>
                <w:sz w:val="20"/>
              </w:rPr>
              <w:t>+5.1%</w:t>
            </w:r>
          </w:p>
        </w:tc>
      </w:tr>
      <w:tr>
        <w:tc>
          <w:tcPr>
            <w:tcW w:type="dxa" w:w="3600"/>
          </w:tcPr>
          <w:p>
            <w:r/>
            <w:r>
              <w:rPr>
                <w:rFonts w:ascii="Calibri" w:hAnsi="Calibri"/>
                <w:sz w:val="20"/>
              </w:rPr>
              <w:t>GAAP EPS</w:t>
            </w:r>
          </w:p>
        </w:tc>
        <w:tc>
          <w:tcPr>
            <w:tcW w:type="dxa" w:w="1728"/>
          </w:tcPr>
          <w:p>
            <w:r/>
            <w:r>
              <w:rPr>
                <w:rFonts w:ascii="Calibri" w:hAnsi="Calibri"/>
                <w:sz w:val="20"/>
              </w:rPr>
              <w:t>$3.20</w:t>
            </w:r>
          </w:p>
        </w:tc>
        <w:tc>
          <w:tcPr>
            <w:tcW w:type="dxa" w:w="1728"/>
          </w:tcPr>
          <w:p>
            <w:r/>
            <w:r>
              <w:rPr>
                <w:rFonts w:ascii="Calibri" w:hAnsi="Calibri"/>
                <w:sz w:val="20"/>
              </w:rPr>
              <w:t>$3.34</w:t>
            </w:r>
          </w:p>
        </w:tc>
        <w:tc>
          <w:tcPr>
            <w:tcW w:type="dxa" w:w="1728"/>
          </w:tcPr>
          <w:p>
            <w:r/>
            <w:r>
              <w:rPr>
                <w:rFonts w:ascii="Calibri" w:hAnsi="Calibri"/>
                <w:sz w:val="20"/>
              </w:rPr>
              <w:t>+4.4%</w:t>
            </w:r>
          </w:p>
        </w:tc>
      </w:tr>
      <w:tr>
        <w:tc>
          <w:tcPr>
            <w:tcW w:type="dxa" w:w="3600"/>
            <w:shd w:val="clear" w:color="auto" w:fill="F4F7FB"/>
          </w:tcPr>
          <w:p>
            <w:r/>
            <w:r>
              <w:rPr>
                <w:rFonts w:ascii="Calibri" w:hAnsi="Calibri"/>
                <w:sz w:val="20"/>
              </w:rPr>
              <w:t>Repatha ($M)</w:t>
            </w:r>
          </w:p>
        </w:tc>
        <w:tc>
          <w:tcPr>
            <w:tcW w:type="dxa" w:w="1728"/>
            <w:shd w:val="clear" w:color="auto" w:fill="F4F7FB"/>
          </w:tcPr>
          <w:p>
            <w:r/>
            <w:r>
              <w:rPr>
                <w:rFonts w:ascii="Calibri" w:hAnsi="Calibri"/>
                <w:sz w:val="20"/>
              </w:rPr>
              <w:t>~$654</w:t>
            </w:r>
          </w:p>
        </w:tc>
        <w:tc>
          <w:tcPr>
            <w:tcW w:type="dxa" w:w="1728"/>
            <w:shd w:val="clear" w:color="auto" w:fill="F4F7FB"/>
          </w:tcPr>
          <w:p>
            <w:r/>
            <w:r>
              <w:rPr>
                <w:rFonts w:ascii="Calibri" w:hAnsi="Calibri"/>
                <w:sz w:val="20"/>
              </w:rPr>
              <w:t>$876</w:t>
            </w:r>
          </w:p>
        </w:tc>
        <w:tc>
          <w:tcPr>
            <w:tcW w:type="dxa" w:w="1728"/>
            <w:shd w:val="clear" w:color="auto" w:fill="F4F7FB"/>
          </w:tcPr>
          <w:p>
            <w:r/>
            <w:r>
              <w:rPr>
                <w:rFonts w:ascii="Calibri" w:hAnsi="Calibri"/>
                <w:sz w:val="20"/>
              </w:rPr>
              <w:t>+34%</w:t>
            </w:r>
          </w:p>
        </w:tc>
      </w:tr>
      <w:tr>
        <w:tc>
          <w:tcPr>
            <w:tcW w:type="dxa" w:w="3600"/>
          </w:tcPr>
          <w:p>
            <w:r/>
            <w:r>
              <w:rPr>
                <w:rFonts w:ascii="Calibri" w:hAnsi="Calibri"/>
                <w:sz w:val="20"/>
              </w:rPr>
              <w:t>Evenity ($M)</w:t>
            </w:r>
          </w:p>
        </w:tc>
        <w:tc>
          <w:tcPr>
            <w:tcW w:type="dxa" w:w="1728"/>
          </w:tcPr>
          <w:p>
            <w:r/>
            <w:r>
              <w:rPr>
                <w:rFonts w:ascii="Calibri" w:hAnsi="Calibri"/>
                <w:sz w:val="20"/>
              </w:rPr>
              <w:t>~$443</w:t>
            </w:r>
          </w:p>
        </w:tc>
        <w:tc>
          <w:tcPr>
            <w:tcW w:type="dxa" w:w="1728"/>
          </w:tcPr>
          <w:p>
            <w:r/>
            <w:r>
              <w:rPr>
                <w:rFonts w:ascii="Calibri" w:hAnsi="Calibri"/>
                <w:sz w:val="20"/>
              </w:rPr>
              <w:t>$562</w:t>
            </w:r>
          </w:p>
        </w:tc>
        <w:tc>
          <w:tcPr>
            <w:tcW w:type="dxa" w:w="1728"/>
          </w:tcPr>
          <w:p>
            <w:r/>
            <w:r>
              <w:rPr>
                <w:rFonts w:ascii="Calibri" w:hAnsi="Calibri"/>
                <w:sz w:val="20"/>
              </w:rPr>
              <w:t>+27%</w:t>
            </w:r>
          </w:p>
        </w:tc>
      </w:tr>
      <w:tr>
        <w:tc>
          <w:tcPr>
            <w:tcW w:type="dxa" w:w="3600"/>
            <w:shd w:val="clear" w:color="auto" w:fill="F4F7FB"/>
          </w:tcPr>
          <w:p>
            <w:r/>
            <w:r>
              <w:rPr>
                <w:rFonts w:ascii="Calibri" w:hAnsi="Calibri"/>
                <w:sz w:val="20"/>
              </w:rPr>
              <w:t>TEPEZZA ($M)</w:t>
            </w:r>
          </w:p>
        </w:tc>
        <w:tc>
          <w:tcPr>
            <w:tcW w:type="dxa" w:w="1728"/>
            <w:shd w:val="clear" w:color="auto" w:fill="F4F7FB"/>
          </w:tcPr>
          <w:p>
            <w:r/>
            <w:r>
              <w:rPr>
                <w:rFonts w:ascii="Calibri" w:hAnsi="Calibri"/>
                <w:sz w:val="20"/>
              </w:rPr>
              <w:t>~$380</w:t>
            </w:r>
          </w:p>
        </w:tc>
        <w:tc>
          <w:tcPr>
            <w:tcW w:type="dxa" w:w="1728"/>
            <w:shd w:val="clear" w:color="auto" w:fill="F4F7FB"/>
          </w:tcPr>
          <w:p>
            <w:r/>
            <w:r>
              <w:rPr>
                <w:rFonts w:ascii="Calibri" w:hAnsi="Calibri"/>
                <w:sz w:val="20"/>
              </w:rPr>
              <w:t>$490</w:t>
            </w:r>
          </w:p>
        </w:tc>
        <w:tc>
          <w:tcPr>
            <w:tcW w:type="dxa" w:w="1728"/>
            <w:shd w:val="clear" w:color="auto" w:fill="F4F7FB"/>
          </w:tcPr>
          <w:p>
            <w:r/>
            <w:r>
              <w:rPr>
                <w:rFonts w:ascii="Calibri" w:hAnsi="Calibri"/>
                <w:sz w:val="20"/>
              </w:rPr>
              <w:t>+29%</w:t>
            </w:r>
          </w:p>
        </w:tc>
      </w:tr>
      <w:tr>
        <w:tc>
          <w:tcPr>
            <w:tcW w:type="dxa" w:w="3600"/>
          </w:tcPr>
          <w:p>
            <w:r/>
            <w:r>
              <w:rPr>
                <w:rFonts w:ascii="Calibri" w:hAnsi="Calibri"/>
                <w:sz w:val="20"/>
              </w:rPr>
              <w:t>IMDELLTRA ($M)</w:t>
            </w:r>
          </w:p>
        </w:tc>
        <w:tc>
          <w:tcPr>
            <w:tcW w:type="dxa" w:w="1728"/>
          </w:tcPr>
          <w:p>
            <w:r/>
            <w:r>
              <w:rPr>
                <w:rFonts w:ascii="Calibri" w:hAnsi="Calibri"/>
                <w:sz w:val="20"/>
              </w:rPr>
              <w:t>~$81</w:t>
            </w:r>
          </w:p>
        </w:tc>
        <w:tc>
          <w:tcPr>
            <w:tcW w:type="dxa" w:w="1728"/>
          </w:tcPr>
          <w:p>
            <w:r/>
            <w:r>
              <w:rPr>
                <w:rFonts w:ascii="Calibri" w:hAnsi="Calibri"/>
                <w:sz w:val="20"/>
              </w:rPr>
              <w:t>$258</w:t>
            </w:r>
          </w:p>
        </w:tc>
        <w:tc>
          <w:tcPr>
            <w:tcW w:type="dxa" w:w="1728"/>
          </w:tcPr>
          <w:p>
            <w:r/>
            <w:r>
              <w:rPr>
                <w:rFonts w:ascii="Calibri" w:hAnsi="Calibri"/>
                <w:sz w:val="20"/>
              </w:rPr>
              <w:t>+219%</w:t>
            </w:r>
          </w:p>
        </w:tc>
      </w:tr>
      <w:tr>
        <w:tc>
          <w:tcPr>
            <w:tcW w:type="dxa" w:w="3600"/>
            <w:shd w:val="clear" w:color="auto" w:fill="F4F7FB"/>
          </w:tcPr>
          <w:p>
            <w:r/>
            <w:r>
              <w:rPr>
                <w:rFonts w:ascii="Calibri" w:hAnsi="Calibri"/>
                <w:sz w:val="20"/>
              </w:rPr>
              <w:t>Biosimilar portfolio ($M)</w:t>
            </w:r>
          </w:p>
        </w:tc>
        <w:tc>
          <w:tcPr>
            <w:tcW w:type="dxa" w:w="1728"/>
            <w:shd w:val="clear" w:color="auto" w:fill="F4F7FB"/>
          </w:tcPr>
          <w:p>
            <w:r/>
            <w:r>
              <w:rPr>
                <w:rFonts w:ascii="Calibri" w:hAnsi="Calibri"/>
                <w:sz w:val="20"/>
              </w:rPr>
              <w:t>~$544</w:t>
            </w:r>
          </w:p>
        </w:tc>
        <w:tc>
          <w:tcPr>
            <w:tcW w:type="dxa" w:w="1728"/>
            <w:shd w:val="clear" w:color="auto" w:fill="F4F7FB"/>
          </w:tcPr>
          <w:p>
            <w:r/>
            <w:r>
              <w:rPr>
                <w:rFonts w:ascii="Calibri" w:hAnsi="Calibri"/>
                <w:sz w:val="20"/>
              </w:rPr>
              <w:t>$735</w:t>
            </w:r>
          </w:p>
        </w:tc>
        <w:tc>
          <w:tcPr>
            <w:tcW w:type="dxa" w:w="1728"/>
            <w:shd w:val="clear" w:color="auto" w:fill="F4F7FB"/>
          </w:tcPr>
          <w:p>
            <w:r/>
            <w:r>
              <w:rPr>
                <w:rFonts w:ascii="Calibri" w:hAnsi="Calibri"/>
                <w:sz w:val="20"/>
              </w:rPr>
              <w:t>+35%</w:t>
            </w:r>
          </w:p>
        </w:tc>
      </w:tr>
      <w:tr>
        <w:tc>
          <w:tcPr>
            <w:tcW w:type="dxa" w:w="3600"/>
          </w:tcPr>
          <w:p>
            <w:r/>
            <w:r>
              <w:rPr>
                <w:rFonts w:ascii="Calibri" w:hAnsi="Calibri"/>
                <w:sz w:val="20"/>
              </w:rPr>
              <w:t>Enbrel ($M)</w:t>
            </w:r>
          </w:p>
        </w:tc>
        <w:tc>
          <w:tcPr>
            <w:tcW w:type="dxa" w:w="1728"/>
          </w:tcPr>
          <w:p>
            <w:r/>
            <w:r>
              <w:rPr>
                <w:rFonts w:ascii="Calibri" w:hAnsi="Calibri"/>
                <w:sz w:val="20"/>
              </w:rPr>
              <w:t>~$508</w:t>
            </w:r>
          </w:p>
        </w:tc>
        <w:tc>
          <w:tcPr>
            <w:tcW w:type="dxa" w:w="1728"/>
          </w:tcPr>
          <w:p>
            <w:r/>
            <w:r>
              <w:rPr>
                <w:rFonts w:ascii="Calibri" w:hAnsi="Calibri"/>
                <w:sz w:val="20"/>
              </w:rPr>
              <w:t>$320</w:t>
            </w:r>
          </w:p>
        </w:tc>
        <w:tc>
          <w:tcPr>
            <w:tcW w:type="dxa" w:w="1728"/>
          </w:tcPr>
          <w:p>
            <w:r/>
            <w:r>
              <w:rPr>
                <w:rFonts w:ascii="Calibri" w:hAnsi="Calibri"/>
                <w:sz w:val="20"/>
              </w:rPr>
              <w:t>(37%)</w:t>
            </w:r>
          </w:p>
        </w:tc>
      </w:tr>
      <w:tr>
        <w:tc>
          <w:tcPr>
            <w:tcW w:type="dxa" w:w="3600"/>
            <w:shd w:val="clear" w:color="auto" w:fill="F4F7FB"/>
          </w:tcPr>
          <w:p>
            <w:r/>
            <w:r>
              <w:rPr>
                <w:rFonts w:ascii="Calibri" w:hAnsi="Calibri"/>
                <w:sz w:val="20"/>
              </w:rPr>
              <w:t>Prolia ($M)</w:t>
            </w:r>
          </w:p>
        </w:tc>
        <w:tc>
          <w:tcPr>
            <w:tcW w:type="dxa" w:w="1728"/>
            <w:shd w:val="clear" w:color="auto" w:fill="F4F7FB"/>
          </w:tcPr>
          <w:p>
            <w:r/>
            <w:r>
              <w:rPr>
                <w:rFonts w:ascii="Calibri" w:hAnsi="Calibri"/>
                <w:sz w:val="20"/>
              </w:rPr>
              <w:t>~$1,100</w:t>
            </w:r>
          </w:p>
        </w:tc>
        <w:tc>
          <w:tcPr>
            <w:tcW w:type="dxa" w:w="1728"/>
            <w:shd w:val="clear" w:color="auto" w:fill="F4F7FB"/>
          </w:tcPr>
          <w:p>
            <w:r/>
            <w:r>
              <w:rPr>
                <w:rFonts w:ascii="Calibri" w:hAnsi="Calibri"/>
                <w:sz w:val="20"/>
              </w:rPr>
              <w:t>$727</w:t>
            </w:r>
          </w:p>
        </w:tc>
        <w:tc>
          <w:tcPr>
            <w:tcW w:type="dxa" w:w="1728"/>
            <w:shd w:val="clear" w:color="auto" w:fill="F4F7FB"/>
          </w:tcPr>
          <w:p>
            <w:r/>
            <w:r>
              <w:rPr>
                <w:rFonts w:ascii="Calibri" w:hAnsi="Calibri"/>
                <w:sz w:val="20"/>
              </w:rPr>
              <w:t>(34%)</w:t>
            </w:r>
          </w:p>
        </w:tc>
      </w:tr>
      <w:tr>
        <w:tc>
          <w:tcPr>
            <w:tcW w:type="dxa" w:w="3600"/>
          </w:tcPr>
          <w:p>
            <w:r/>
            <w:r>
              <w:rPr>
                <w:rFonts w:ascii="Calibri" w:hAnsi="Calibri"/>
                <w:sz w:val="20"/>
              </w:rPr>
              <w:t>Non-GAAP Op. Margin</w:t>
            </w:r>
          </w:p>
        </w:tc>
        <w:tc>
          <w:tcPr>
            <w:tcW w:type="dxa" w:w="1728"/>
          </w:tcPr>
          <w:p>
            <w:r/>
            <w:r>
              <w:rPr>
                <w:rFonts w:ascii="Calibri" w:hAnsi="Calibri"/>
                <w:sz w:val="20"/>
              </w:rPr>
              <w:t>~44.5%</w:t>
            </w:r>
          </w:p>
        </w:tc>
        <w:tc>
          <w:tcPr>
            <w:tcW w:type="dxa" w:w="1728"/>
          </w:tcPr>
          <w:p>
            <w:r/>
            <w:r>
              <w:rPr>
                <w:rFonts w:ascii="Calibri" w:hAnsi="Calibri"/>
                <w:sz w:val="20"/>
              </w:rPr>
              <w:t>45.3%</w:t>
            </w:r>
          </w:p>
        </w:tc>
        <w:tc>
          <w:tcPr>
            <w:tcW w:type="dxa" w:w="1728"/>
          </w:tcPr>
          <w:p>
            <w:r/>
            <w:r>
              <w:rPr>
                <w:rFonts w:ascii="Calibri" w:hAnsi="Calibri"/>
                <w:sz w:val="20"/>
              </w:rPr>
              <w:t>+80bps</w:t>
            </w:r>
          </w:p>
        </w:tc>
      </w:tr>
      <w:tr>
        <w:tc>
          <w:tcPr>
            <w:tcW w:type="dxa" w:w="3600"/>
            <w:shd w:val="clear" w:color="auto" w:fill="F4F7FB"/>
          </w:tcPr>
          <w:p>
            <w:r/>
            <w:r>
              <w:rPr>
                <w:rFonts w:ascii="Calibri" w:hAnsi="Calibri"/>
                <w:sz w:val="20"/>
              </w:rPr>
              <w:t>R&amp;D ($B)</w:t>
            </w:r>
          </w:p>
        </w:tc>
        <w:tc>
          <w:tcPr>
            <w:tcW w:type="dxa" w:w="1728"/>
            <w:shd w:val="clear" w:color="auto" w:fill="F4F7FB"/>
          </w:tcPr>
          <w:p>
            <w:r/>
            <w:r>
              <w:rPr>
                <w:rFonts w:ascii="Calibri" w:hAnsi="Calibri"/>
                <w:sz w:val="20"/>
              </w:rPr>
              <w:t>~$1.47</w:t>
            </w:r>
          </w:p>
        </w:tc>
        <w:tc>
          <w:tcPr>
            <w:tcW w:type="dxa" w:w="1728"/>
            <w:shd w:val="clear" w:color="auto" w:fill="F4F7FB"/>
          </w:tcPr>
          <w:p>
            <w:r/>
            <w:r>
              <w:rPr>
                <w:rFonts w:ascii="Calibri" w:hAnsi="Calibri"/>
                <w:sz w:val="20"/>
              </w:rPr>
              <w:t>~$1.70</w:t>
            </w:r>
          </w:p>
        </w:tc>
        <w:tc>
          <w:tcPr>
            <w:tcW w:type="dxa" w:w="1728"/>
            <w:shd w:val="clear" w:color="auto" w:fill="F4F7FB"/>
          </w:tcPr>
          <w:p>
            <w:r/>
            <w:r>
              <w:rPr>
                <w:rFonts w:ascii="Calibri" w:hAnsi="Calibri"/>
                <w:sz w:val="20"/>
              </w:rPr>
              <w:t>+16%</w:t>
            </w:r>
          </w:p>
        </w:tc>
      </w:tr>
    </w:tbl>
    <w:p>
      <w:pPr>
        <w:spacing w:after="80"/>
      </w:pPr>
      <w:r>
        <w:rPr>
          <w:rFonts w:ascii="Calibri" w:hAnsi="Calibri"/>
          <w:b w:val="0"/>
          <w:i/>
          <w:color w:val="555F6B"/>
          <w:sz w:val="18"/>
        </w:rPr>
        <w:t>Source: Company filings. Q1 2025 figures reconstructed from press release YoY growth rates.</w:t>
      </w:r>
    </w:p>
    <w:p>
      <w:r>
        <w:br w:type="page"/>
      </w:r>
    </w:p>
    <w:p>
      <w:pPr>
        <w:spacing w:before="280" w:after="160"/>
      </w:pPr>
      <w:r>
        <w:rPr>
          <w:rFonts w:ascii="Calibri" w:hAnsi="Calibri"/>
          <w:b/>
          <w:color w:val="0B2C5C"/>
          <w:sz w:val="36"/>
        </w:rPr>
        <w:t>Investment Thesis - Updated</w:t>
      </w:r>
    </w:p>
    <w:p>
      <w:pPr>
        <w:spacing w:before="200" w:after="80"/>
      </w:pPr>
      <w:r>
        <w:rPr>
          <w:rFonts w:ascii="Calibri" w:hAnsi="Calibri"/>
          <w:b/>
          <w:color w:val="0B2C5C"/>
          <w:sz w:val="28"/>
        </w:rPr>
        <w:t>What Changed This Quarter</w:t>
      </w:r>
    </w:p>
    <w:p>
      <w:pPr>
        <w:spacing w:after="80"/>
      </w:pPr>
      <w:r>
        <w:rPr>
          <w:rFonts w:ascii="Calibri" w:hAnsi="Calibri"/>
          <w:b w:val="0"/>
          <w:i w:val="0"/>
          <w:sz w:val="21"/>
        </w:rPr>
        <w:t>Q1 2026 was the first quarterly print under the full IRA Medicare price-setting regime - and the first to fully reflect Prolia biosimilar competition. The franchise still delivered 6% topline growth, +5% non-GAAP EPS growth, +80bps margin expansion, and 50% free cash flow growth. Three points of conviction increased materially:</w:t>
      </w:r>
    </w:p>
    <w:p>
      <w:pPr>
        <w:pStyle w:val="ListBullet"/>
        <w:spacing w:after="40"/>
      </w:pPr>
      <w:r>
        <w:rPr>
          <w:rFonts w:ascii="Calibri" w:hAnsi="Calibri"/>
          <w:sz w:val="21"/>
        </w:rPr>
        <w:t>The six growth-pillar narrative is materially more validated. Repatha (+34%), Evenity (+27%), TEPEZZA (+29%), UPLIZNA (+188%), IMDELLTRA (+219%), and biosimilars (+35%) collectively grew much faster than required to absorb the Enbrel and Prolia step-downs - meaning the long-term EPS algorithm is intact even before MariTide is in commercial numbers.</w:t>
      </w:r>
    </w:p>
    <w:p>
      <w:pPr>
        <w:pStyle w:val="ListBullet"/>
        <w:spacing w:after="40"/>
      </w:pPr>
      <w:r>
        <w:rPr>
          <w:rFonts w:ascii="Calibri" w:hAnsi="Calibri"/>
          <w:sz w:val="21"/>
        </w:rPr>
        <w:t>Biosimilars are emerging as a genuine third leg. PAVBLU (Eylea biosimilar) is already at $280M/quarter just six months from launch, and the broader biosimilar portfolio at $735M (+35%) supports our view that Amgen's biosimilar P&amp;L can scale toward $4B in 2027 - a level that materially de-risks the post-MariTide-launch period.</w:t>
      </w:r>
    </w:p>
    <w:p>
      <w:pPr>
        <w:pStyle w:val="ListBullet"/>
        <w:spacing w:after="40"/>
      </w:pPr>
      <w:r>
        <w:rPr>
          <w:rFonts w:ascii="Calibri" w:hAnsi="Calibri"/>
          <w:sz w:val="21"/>
        </w:rPr>
        <w:t>MariTide remains the single largest swing factor. Management disclosed additional Phase 3 studies including a 'switch' protocol (testing patients moving from weekly GLP-1s to monthly MariTide on Q8W or Q12W cadence), reinforcing the differentiation argument versus tirzepatide and semaglutide. Phase 3 MARITIME 1/2 read-throughs are expected in 2H 2026 / 1H 2027.</w:t>
      </w:r>
    </w:p>
    <w:p>
      <w:pPr>
        <w:spacing w:before="200" w:after="80"/>
      </w:pPr>
      <w:r>
        <w:rPr>
          <w:rFonts w:ascii="Calibri" w:hAnsi="Calibri"/>
          <w:b/>
          <w:color w:val="0B2C5C"/>
          <w:sz w:val="28"/>
        </w:rPr>
        <w:t>What Did Not Change</w:t>
      </w:r>
    </w:p>
    <w:p>
      <w:pPr>
        <w:spacing w:after="80"/>
      </w:pPr>
      <w:r>
        <w:rPr>
          <w:rFonts w:ascii="Calibri" w:hAnsi="Calibri"/>
          <w:b w:val="0"/>
          <w:i w:val="0"/>
          <w:sz w:val="21"/>
        </w:rPr>
        <w:t>The structural overhangs flagged in Q4 2025 remain in place: (a) the FDA's proposed withdrawal of TAVNEOS (avacopan) approval following post-marketing reports of serious liver injury - a low-revenue product (~$300M run-rate) but an asset where loss would diminish the rare disease franchise narrative; (b) the IRS Notice of Proposed Adjustment (NOPA) on tax years 2016-2018 contesting Amgen's profit-allocation methodology between U.S. and Puerto Rico operations - if sustained in full, the Company has disclosed this could be material; (c) the IRA negotiation tail (Enbrel impact began 1/1/26; Otezla, Krystexxa, and others may be selected in subsequent rounds); and (d) the persistent skepticism on Horizon-deal accretion math, which we believe is now off the table after Q1 2026's earnings power.</w:t>
      </w:r>
    </w:p>
    <w:p>
      <w:pPr>
        <w:spacing w:before="200" w:after="80"/>
      </w:pPr>
      <w:r>
        <w:rPr>
          <w:rFonts w:ascii="Calibri" w:hAnsi="Calibri"/>
          <w:b/>
          <w:color w:val="0B2C5C"/>
          <w:sz w:val="28"/>
        </w:rPr>
        <w:t>Bull / Base / Bear Scenarios - 2027 Non-GAAP EPS</w:t>
      </w:r>
    </w:p>
    <w:tbl>
      <w:tblPr>
        <w:tblStyle w:val="LightGrid-Accent1"/>
        <w:tblW w:type="auto" w:w="0"/>
        <w:tblLayout w:type="fixed"/>
        <w:tblLook w:firstColumn="1" w:firstRow="1" w:lastColumn="0" w:lastRow="0" w:noHBand="0" w:noVBand="1" w:val="04A0"/>
      </w:tblPr>
      <w:tblGrid>
        <w:gridCol w:w="1987"/>
        <w:gridCol w:w="1987"/>
        <w:gridCol w:w="1987"/>
        <w:gridCol w:w="1987"/>
        <w:gridCol w:w="1987"/>
      </w:tblGrid>
      <w:tr>
        <w:tc>
          <w:tcPr>
            <w:tcW w:type="dxa" w:w="2448"/>
            <w:shd w:val="clear" w:color="auto" w:fill="0B2C5C"/>
          </w:tcPr>
          <w:p>
            <w:r/>
            <w:r>
              <w:rPr>
                <w:rFonts w:ascii="Calibri" w:hAnsi="Calibri"/>
                <w:b/>
                <w:color w:val="FFFFFF"/>
                <w:sz w:val="20"/>
              </w:rPr>
              <w:t>Scenario</w:t>
            </w:r>
          </w:p>
        </w:tc>
        <w:tc>
          <w:tcPr>
            <w:tcW w:type="dxa" w:w="2160"/>
            <w:shd w:val="clear" w:color="auto" w:fill="0B2C5C"/>
          </w:tcPr>
          <w:p>
            <w:r/>
            <w:r>
              <w:rPr>
                <w:rFonts w:ascii="Calibri" w:hAnsi="Calibri"/>
                <w:b/>
                <w:color w:val="FFFFFF"/>
                <w:sz w:val="20"/>
              </w:rPr>
              <w:t>2027 Non-GAAP EPS</w:t>
            </w:r>
          </w:p>
        </w:tc>
        <w:tc>
          <w:tcPr>
            <w:tcW w:type="dxa" w:w="1440"/>
            <w:shd w:val="clear" w:color="auto" w:fill="0B2C5C"/>
          </w:tcPr>
          <w:p>
            <w:r/>
            <w:r>
              <w:rPr>
                <w:rFonts w:ascii="Calibri" w:hAnsi="Calibri"/>
                <w:b/>
                <w:color w:val="FFFFFF"/>
                <w:sz w:val="20"/>
              </w:rPr>
              <w:t>Multiple</w:t>
            </w:r>
          </w:p>
        </w:tc>
        <w:tc>
          <w:tcPr>
            <w:tcW w:type="dxa" w:w="1872"/>
            <w:shd w:val="clear" w:color="auto" w:fill="0B2C5C"/>
          </w:tcPr>
          <w:p>
            <w:r/>
            <w:r>
              <w:rPr>
                <w:rFonts w:ascii="Calibri" w:hAnsi="Calibri"/>
                <w:b/>
                <w:color w:val="FFFFFF"/>
                <w:sz w:val="20"/>
              </w:rPr>
              <w:t>Implied PT</w:t>
            </w:r>
          </w:p>
        </w:tc>
        <w:tc>
          <w:tcPr>
            <w:tcW w:type="dxa" w:w="2016"/>
            <w:shd w:val="clear" w:color="auto" w:fill="0B2C5C"/>
          </w:tcPr>
          <w:p>
            <w:r/>
            <w:r>
              <w:rPr>
                <w:rFonts w:ascii="Calibri" w:hAnsi="Calibri"/>
                <w:b/>
                <w:color w:val="FFFFFF"/>
                <w:sz w:val="20"/>
              </w:rPr>
              <w:t>Probability</w:t>
            </w:r>
          </w:p>
        </w:tc>
      </w:tr>
      <w:tr>
        <w:tc>
          <w:tcPr>
            <w:tcW w:type="dxa" w:w="2448"/>
          </w:tcPr>
          <w:p>
            <w:r/>
            <w:r>
              <w:rPr>
                <w:rFonts w:ascii="Calibri" w:hAnsi="Calibri"/>
                <w:sz w:val="20"/>
              </w:rPr>
              <w:t>Bull</w:t>
            </w:r>
          </w:p>
        </w:tc>
        <w:tc>
          <w:tcPr>
            <w:tcW w:type="dxa" w:w="2160"/>
          </w:tcPr>
          <w:p>
            <w:r/>
            <w:r>
              <w:rPr>
                <w:rFonts w:ascii="Calibri" w:hAnsi="Calibri"/>
                <w:sz w:val="20"/>
              </w:rPr>
              <w:t>$26.50</w:t>
            </w:r>
          </w:p>
        </w:tc>
        <w:tc>
          <w:tcPr>
            <w:tcW w:type="dxa" w:w="1440"/>
          </w:tcPr>
          <w:p>
            <w:r/>
            <w:r>
              <w:rPr>
                <w:rFonts w:ascii="Calibri" w:hAnsi="Calibri"/>
                <w:sz w:val="20"/>
              </w:rPr>
              <w:t>18.0x</w:t>
            </w:r>
          </w:p>
        </w:tc>
        <w:tc>
          <w:tcPr>
            <w:tcW w:type="dxa" w:w="1872"/>
          </w:tcPr>
          <w:p>
            <w:r/>
            <w:r>
              <w:rPr>
                <w:rFonts w:ascii="Calibri" w:hAnsi="Calibri"/>
                <w:sz w:val="20"/>
              </w:rPr>
              <w:t>$477</w:t>
            </w:r>
          </w:p>
        </w:tc>
        <w:tc>
          <w:tcPr>
            <w:tcW w:type="dxa" w:w="2016"/>
          </w:tcPr>
          <w:p>
            <w:r/>
            <w:r>
              <w:rPr>
                <w:rFonts w:ascii="Calibri" w:hAnsi="Calibri"/>
                <w:sz w:val="20"/>
              </w:rPr>
              <w:t>20%</w:t>
            </w:r>
          </w:p>
        </w:tc>
      </w:tr>
      <w:tr>
        <w:tc>
          <w:tcPr>
            <w:tcW w:type="dxa" w:w="2448"/>
            <w:shd w:val="clear" w:color="auto" w:fill="F4F7FB"/>
          </w:tcPr>
          <w:p>
            <w:r/>
            <w:r>
              <w:rPr>
                <w:rFonts w:ascii="Calibri" w:hAnsi="Calibri"/>
                <w:sz w:val="20"/>
              </w:rPr>
              <w:t>Base</w:t>
            </w:r>
          </w:p>
        </w:tc>
        <w:tc>
          <w:tcPr>
            <w:tcW w:type="dxa" w:w="2160"/>
            <w:shd w:val="clear" w:color="auto" w:fill="F4F7FB"/>
          </w:tcPr>
          <w:p>
            <w:r/>
            <w:r>
              <w:rPr>
                <w:rFonts w:ascii="Calibri" w:hAnsi="Calibri"/>
                <w:sz w:val="20"/>
              </w:rPr>
              <w:t>$25.10</w:t>
            </w:r>
          </w:p>
        </w:tc>
        <w:tc>
          <w:tcPr>
            <w:tcW w:type="dxa" w:w="1440"/>
            <w:shd w:val="clear" w:color="auto" w:fill="F4F7FB"/>
          </w:tcPr>
          <w:p>
            <w:r/>
            <w:r>
              <w:rPr>
                <w:rFonts w:ascii="Calibri" w:hAnsi="Calibri"/>
                <w:sz w:val="20"/>
              </w:rPr>
              <w:t>15.5x</w:t>
            </w:r>
          </w:p>
        </w:tc>
        <w:tc>
          <w:tcPr>
            <w:tcW w:type="dxa" w:w="1872"/>
            <w:shd w:val="clear" w:color="auto" w:fill="F4F7FB"/>
          </w:tcPr>
          <w:p>
            <w:r/>
            <w:r>
              <w:rPr>
                <w:rFonts w:ascii="Calibri" w:hAnsi="Calibri"/>
                <w:sz w:val="20"/>
              </w:rPr>
              <w:t>$389</w:t>
            </w:r>
          </w:p>
        </w:tc>
        <w:tc>
          <w:tcPr>
            <w:tcW w:type="dxa" w:w="2016"/>
            <w:shd w:val="clear" w:color="auto" w:fill="F4F7FB"/>
          </w:tcPr>
          <w:p>
            <w:r/>
            <w:r>
              <w:rPr>
                <w:rFonts w:ascii="Calibri" w:hAnsi="Calibri"/>
                <w:sz w:val="20"/>
              </w:rPr>
              <w:t>55%</w:t>
            </w:r>
          </w:p>
        </w:tc>
      </w:tr>
      <w:tr>
        <w:tc>
          <w:tcPr>
            <w:tcW w:type="dxa" w:w="2448"/>
          </w:tcPr>
          <w:p>
            <w:r/>
            <w:r>
              <w:rPr>
                <w:rFonts w:ascii="Calibri" w:hAnsi="Calibri"/>
                <w:sz w:val="20"/>
              </w:rPr>
              <w:t>Bear</w:t>
            </w:r>
          </w:p>
        </w:tc>
        <w:tc>
          <w:tcPr>
            <w:tcW w:type="dxa" w:w="2160"/>
          </w:tcPr>
          <w:p>
            <w:r/>
            <w:r>
              <w:rPr>
                <w:rFonts w:ascii="Calibri" w:hAnsi="Calibri"/>
                <w:sz w:val="20"/>
              </w:rPr>
              <w:t>$22.50</w:t>
            </w:r>
          </w:p>
        </w:tc>
        <w:tc>
          <w:tcPr>
            <w:tcW w:type="dxa" w:w="1440"/>
          </w:tcPr>
          <w:p>
            <w:r/>
            <w:r>
              <w:rPr>
                <w:rFonts w:ascii="Calibri" w:hAnsi="Calibri"/>
                <w:sz w:val="20"/>
              </w:rPr>
              <w:t>12.5x</w:t>
            </w:r>
          </w:p>
        </w:tc>
        <w:tc>
          <w:tcPr>
            <w:tcW w:type="dxa" w:w="1872"/>
          </w:tcPr>
          <w:p>
            <w:r/>
            <w:r>
              <w:rPr>
                <w:rFonts w:ascii="Calibri" w:hAnsi="Calibri"/>
                <w:sz w:val="20"/>
              </w:rPr>
              <w:t>$281</w:t>
            </w:r>
          </w:p>
        </w:tc>
        <w:tc>
          <w:tcPr>
            <w:tcW w:type="dxa" w:w="2016"/>
          </w:tcPr>
          <w:p>
            <w:r/>
            <w:r>
              <w:rPr>
                <w:rFonts w:ascii="Calibri" w:hAnsi="Calibri"/>
                <w:sz w:val="20"/>
              </w:rPr>
              <w:t>25%</w:t>
            </w:r>
          </w:p>
        </w:tc>
      </w:tr>
      <w:tr>
        <w:tc>
          <w:tcPr>
            <w:tcW w:type="dxa" w:w="2448"/>
            <w:shd w:val="clear" w:color="auto" w:fill="F4F7FB"/>
          </w:tcPr>
          <w:p>
            <w:r/>
            <w:r>
              <w:rPr>
                <w:rFonts w:ascii="Calibri" w:hAnsi="Calibri"/>
                <w:sz w:val="20"/>
              </w:rPr>
              <w:t>Probability-weighted</w:t>
            </w:r>
          </w:p>
        </w:tc>
        <w:tc>
          <w:tcPr>
            <w:tcW w:type="dxa" w:w="2160"/>
            <w:shd w:val="clear" w:color="auto" w:fill="F4F7FB"/>
          </w:tcPr>
          <w:p>
            <w:r/>
            <w:r>
              <w:rPr>
                <w:rFonts w:ascii="Calibri" w:hAnsi="Calibri"/>
                <w:sz w:val="20"/>
              </w:rPr>
              <w:t>$24.65</w:t>
            </w:r>
          </w:p>
        </w:tc>
        <w:tc>
          <w:tcPr>
            <w:tcW w:type="dxa" w:w="1440"/>
            <w:shd w:val="clear" w:color="auto" w:fill="F4F7FB"/>
          </w:tcPr>
          <w:p>
            <w:r/>
            <w:r>
              <w:rPr>
                <w:rFonts w:ascii="Calibri" w:hAnsi="Calibri"/>
                <w:sz w:val="20"/>
              </w:rPr>
              <w:t>15.6x</w:t>
            </w:r>
          </w:p>
        </w:tc>
        <w:tc>
          <w:tcPr>
            <w:tcW w:type="dxa" w:w="1872"/>
            <w:shd w:val="clear" w:color="auto" w:fill="F4F7FB"/>
          </w:tcPr>
          <w:p>
            <w:r/>
            <w:r>
              <w:rPr>
                <w:rFonts w:ascii="Calibri" w:hAnsi="Calibri"/>
                <w:sz w:val="20"/>
              </w:rPr>
              <w:t>$385</w:t>
            </w:r>
          </w:p>
        </w:tc>
        <w:tc>
          <w:tcPr>
            <w:tcW w:type="dxa" w:w="2016"/>
            <w:shd w:val="clear" w:color="auto" w:fill="F4F7FB"/>
          </w:tcPr>
          <w:p>
            <w:r/>
            <w:r>
              <w:rPr>
                <w:rFonts w:ascii="Calibri" w:hAnsi="Calibri"/>
                <w:sz w:val="20"/>
              </w:rPr>
              <w:t>-</w:t>
            </w:r>
          </w:p>
        </w:tc>
      </w:tr>
    </w:tbl>
    <w:p>
      <w:pPr>
        <w:spacing w:after="80"/>
      </w:pPr>
      <w:r>
        <w:rPr>
          <w:rFonts w:ascii="Calibri" w:hAnsi="Calibri"/>
          <w:b w:val="0"/>
          <w:i/>
          <w:color w:val="555F6B"/>
          <w:sz w:val="18"/>
        </w:rPr>
        <w:t>Source: Finance Index Research. Bull case assumes positive MariTide Phase 3 readouts, no IRS adverse outcome, and faster ex-U.S. TEPEZZA ramp. Bear case assumes IRS NOPA sustained, faster Enbrel/Otezla erosion, and MariTide Phase 3 disappointment.</w:t>
      </w:r>
    </w:p>
    <w:p>
      <w:pPr>
        <w:spacing w:before="200" w:after="80"/>
      </w:pPr>
      <w:r>
        <w:rPr>
          <w:rFonts w:ascii="Calibri" w:hAnsi="Calibri"/>
          <w:b/>
          <w:color w:val="0B2C5C"/>
          <w:sz w:val="28"/>
        </w:rPr>
        <w:t>Risks to the Thesis</w:t>
      </w:r>
    </w:p>
    <w:p>
      <w:pPr>
        <w:pStyle w:val="ListBullet"/>
        <w:spacing w:after="40"/>
      </w:pPr>
      <w:r>
        <w:rPr>
          <w:rFonts w:ascii="Calibri" w:hAnsi="Calibri"/>
          <w:sz w:val="21"/>
        </w:rPr>
        <w:t>MariTide Phase 3 disappointment: Phase 2 data showed competitive but not best-in-class weight loss versus tirzepatide. A Phase 3 readout that fails to differentiate on tolerability, durability, or dosing convenience would compress the multiple meaningfully and remove the largest single bull-case lever.</w:t>
      </w:r>
    </w:p>
    <w:p>
      <w:pPr>
        <w:pStyle w:val="ListBullet"/>
        <w:spacing w:after="40"/>
      </w:pPr>
      <w:r>
        <w:rPr>
          <w:rFonts w:ascii="Calibri" w:hAnsi="Calibri"/>
          <w:sz w:val="21"/>
        </w:rPr>
        <w:t>FDA TAVNEOS withdrawal: The FDA's proposed withdrawal following serious liver injury reports is unprecedented for a recently approved drug. Beyond the ~$300M revenue impact, an adverse outcome would damage the regulatory narrative around the rare-disease franchise and could affect read-through to other Horizon assets.</w:t>
      </w:r>
    </w:p>
    <w:p>
      <w:pPr>
        <w:pStyle w:val="ListBullet"/>
        <w:spacing w:after="40"/>
      </w:pPr>
      <w:r>
        <w:rPr>
          <w:rFonts w:ascii="Calibri" w:hAnsi="Calibri"/>
          <w:sz w:val="21"/>
        </w:rPr>
        <w:t>IRS NOPA on 2016-18 Puerto Rico profit allocation: Amgen has disclosed that if sustained in full, the assessment could be material to financial statements. Resolution path likely runs through Tax Court; final outcome may take 2-3 years.</w:t>
      </w:r>
    </w:p>
    <w:p>
      <w:pPr>
        <w:pStyle w:val="ListBullet"/>
        <w:spacing w:after="40"/>
      </w:pPr>
      <w:r>
        <w:rPr>
          <w:rFonts w:ascii="Calibri" w:hAnsi="Calibri"/>
          <w:sz w:val="21"/>
        </w:rPr>
        <w:t>IRA negotiation expansion: Enbrel impact (-15% net price in Q1) is in numbers; the next rounds of CMS-negotiated drugs (selected in 2026 for 2028 effective) may include Otezla, Krystexxa, or other Horizon-acquired specialty assets, with multi-hundred-million-dollar revenue at risk.</w:t>
      </w:r>
    </w:p>
    <w:p>
      <w:pPr>
        <w:pStyle w:val="ListBullet"/>
        <w:spacing w:after="40"/>
      </w:pPr>
      <w:r>
        <w:rPr>
          <w:rFonts w:ascii="Calibri" w:hAnsi="Calibri"/>
          <w:sz w:val="21"/>
        </w:rPr>
        <w:t>Prolia biosimilar erosion velocity: Q1 erosion of -34% was at the steeper end of Street models. If interchangeability designations and payer-mandated formulary substitution accelerate (as they did for Humira biosimilars in 2024-25), the 2026 Prolia base could erode faster than the -40% to -45% we assume for the full year.</w:t>
      </w:r>
    </w:p>
    <w:p>
      <w:pPr>
        <w:pStyle w:val="ListBullet"/>
        <w:spacing w:after="40"/>
      </w:pPr>
      <w:r>
        <w:rPr>
          <w:rFonts w:ascii="Calibri" w:hAnsi="Calibri"/>
          <w:sz w:val="21"/>
        </w:rPr>
        <w:t>Horizon-deal de-leverage trajectory: $45.3B net debt and 2.5x leverage means buybacks remain paused. A material slowdown in free cash flow generation - or a large unforeseen capital deployment - would push the leverage glide path beyond 2027 and risk credit-rating actions.</w:t>
      </w:r>
    </w:p>
    <w:p>
      <w:r>
        <w:br w:type="page"/>
      </w:r>
    </w:p>
    <w:p>
      <w:pPr>
        <w:spacing w:before="280" w:after="160"/>
      </w:pPr>
      <w:r>
        <w:rPr>
          <w:rFonts w:ascii="Calibri" w:hAnsi="Calibri"/>
          <w:b/>
          <w:color w:val="0B2C5C"/>
          <w:sz w:val="36"/>
        </w:rPr>
        <w:t>Valuation &amp; Price Target</w:t>
      </w:r>
    </w:p>
    <w:p>
      <w:pPr>
        <w:spacing w:before="200" w:after="80"/>
      </w:pPr>
      <w:r>
        <w:rPr>
          <w:rFonts w:ascii="Calibri" w:hAnsi="Calibri"/>
          <w:b/>
          <w:color w:val="0B2C5C"/>
          <w:sz w:val="28"/>
        </w:rPr>
        <w:t>Methodology</w:t>
      </w:r>
    </w:p>
    <w:p>
      <w:pPr>
        <w:spacing w:after="80"/>
      </w:pPr>
      <w:r>
        <w:rPr>
          <w:rFonts w:ascii="Calibri" w:hAnsi="Calibri"/>
          <w:b w:val="0"/>
          <w:i w:val="0"/>
          <w:sz w:val="21"/>
        </w:rPr>
        <w:t>We anchor our $385 12-month price target on a probability-weighted blend of (i) a forward P/E framework against our 2026E non-GAAP EPS of $22.65 at 17.0x - in line with the historical large-cap pharma band (15-18x) and at a slight premium reflecting the MariTide optionality and the de-risked Horizon integration - and (ii) a five-year discounted cash flow with an 8.0% WACC and 2.0% terminal growth, yielding an intrinsic value of $397. We discount modestly versus the methodology midpoint to reflect the IRS NOPA tail and the TAVNEOS regulatory uncertainty. Triangulation against pharma peers (PFE, MRK, ABBV, BMY, LLY, NVS, JNJ) on EV/EBITDA and FCF yield supports a fair multiple at the upper-middle of the cohort given the &gt;$2B obesity option value embedded in MariTide.</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880"/>
            <w:shd w:val="clear" w:color="auto" w:fill="0B2C5C"/>
          </w:tcPr>
          <w:p>
            <w:r/>
            <w:r>
              <w:rPr>
                <w:rFonts w:ascii="Calibri" w:hAnsi="Calibri"/>
                <w:b/>
                <w:color w:val="FFFFFF"/>
                <w:sz w:val="20"/>
              </w:rPr>
              <w:t>Methodology</w:t>
            </w:r>
          </w:p>
        </w:tc>
        <w:tc>
          <w:tcPr>
            <w:tcW w:type="dxa" w:w="2592"/>
            <w:shd w:val="clear" w:color="auto" w:fill="0B2C5C"/>
          </w:tcPr>
          <w:p>
            <w:r/>
            <w:r>
              <w:rPr>
                <w:rFonts w:ascii="Calibri" w:hAnsi="Calibri"/>
                <w:b/>
                <w:color w:val="FFFFFF"/>
                <w:sz w:val="20"/>
              </w:rPr>
              <w:t>Assumption</w:t>
            </w:r>
          </w:p>
        </w:tc>
        <w:tc>
          <w:tcPr>
            <w:tcW w:type="dxa" w:w="2016"/>
            <w:shd w:val="clear" w:color="auto" w:fill="0B2C5C"/>
          </w:tcPr>
          <w:p>
            <w:r/>
            <w:r>
              <w:rPr>
                <w:rFonts w:ascii="Calibri" w:hAnsi="Calibri"/>
                <w:b/>
                <w:color w:val="FFFFFF"/>
                <w:sz w:val="20"/>
              </w:rPr>
              <w:t>Implied Value</w:t>
            </w:r>
          </w:p>
        </w:tc>
        <w:tc>
          <w:tcPr>
            <w:tcW w:type="dxa" w:w="1440"/>
            <w:shd w:val="clear" w:color="auto" w:fill="0B2C5C"/>
          </w:tcPr>
          <w:p>
            <w:r/>
            <w:r>
              <w:rPr>
                <w:rFonts w:ascii="Calibri" w:hAnsi="Calibri"/>
                <w:b/>
                <w:color w:val="FFFFFF"/>
                <w:sz w:val="20"/>
              </w:rPr>
              <w:t>Weight</w:t>
            </w:r>
          </w:p>
        </w:tc>
      </w:tr>
      <w:tr>
        <w:tc>
          <w:tcPr>
            <w:tcW w:type="dxa" w:w="2880"/>
          </w:tcPr>
          <w:p>
            <w:r/>
            <w:r>
              <w:rPr>
                <w:rFonts w:ascii="Calibri" w:hAnsi="Calibri"/>
                <w:sz w:val="20"/>
              </w:rPr>
              <w:t>P/E on 2026E non-GAAP EPS</w:t>
            </w:r>
          </w:p>
        </w:tc>
        <w:tc>
          <w:tcPr>
            <w:tcW w:type="dxa" w:w="2592"/>
          </w:tcPr>
          <w:p>
            <w:r/>
            <w:r>
              <w:rPr>
                <w:rFonts w:ascii="Calibri" w:hAnsi="Calibri"/>
                <w:sz w:val="20"/>
              </w:rPr>
              <w:t>17.0x x $22.65</w:t>
            </w:r>
          </w:p>
        </w:tc>
        <w:tc>
          <w:tcPr>
            <w:tcW w:type="dxa" w:w="2016"/>
          </w:tcPr>
          <w:p>
            <w:r/>
            <w:r>
              <w:rPr>
                <w:rFonts w:ascii="Calibri" w:hAnsi="Calibri"/>
                <w:sz w:val="20"/>
              </w:rPr>
              <w:t>$385</w:t>
            </w:r>
          </w:p>
        </w:tc>
        <w:tc>
          <w:tcPr>
            <w:tcW w:type="dxa" w:w="1440"/>
          </w:tcPr>
          <w:p>
            <w:r/>
            <w:r>
              <w:rPr>
                <w:rFonts w:ascii="Calibri" w:hAnsi="Calibri"/>
                <w:sz w:val="20"/>
              </w:rPr>
              <w:t>50%</w:t>
            </w:r>
          </w:p>
        </w:tc>
      </w:tr>
      <w:tr>
        <w:tc>
          <w:tcPr>
            <w:tcW w:type="dxa" w:w="2880"/>
            <w:shd w:val="clear" w:color="auto" w:fill="F4F7FB"/>
          </w:tcPr>
          <w:p>
            <w:r/>
            <w:r>
              <w:rPr>
                <w:rFonts w:ascii="Calibri" w:hAnsi="Calibri"/>
                <w:sz w:val="20"/>
              </w:rPr>
              <w:t>DCF (5-yr FCFF)</w:t>
            </w:r>
          </w:p>
        </w:tc>
        <w:tc>
          <w:tcPr>
            <w:tcW w:type="dxa" w:w="2592"/>
            <w:shd w:val="clear" w:color="auto" w:fill="F4F7FB"/>
          </w:tcPr>
          <w:p>
            <w:r/>
            <w:r>
              <w:rPr>
                <w:rFonts w:ascii="Calibri" w:hAnsi="Calibri"/>
                <w:sz w:val="20"/>
              </w:rPr>
              <w:t>WACC 8.0%, g 2.0%</w:t>
            </w:r>
          </w:p>
        </w:tc>
        <w:tc>
          <w:tcPr>
            <w:tcW w:type="dxa" w:w="2016"/>
            <w:shd w:val="clear" w:color="auto" w:fill="F4F7FB"/>
          </w:tcPr>
          <w:p>
            <w:r/>
            <w:r>
              <w:rPr>
                <w:rFonts w:ascii="Calibri" w:hAnsi="Calibri"/>
                <w:sz w:val="20"/>
              </w:rPr>
              <w:t>$397</w:t>
            </w:r>
          </w:p>
        </w:tc>
        <w:tc>
          <w:tcPr>
            <w:tcW w:type="dxa" w:w="1440"/>
            <w:shd w:val="clear" w:color="auto" w:fill="F4F7FB"/>
          </w:tcPr>
          <w:p>
            <w:r/>
            <w:r>
              <w:rPr>
                <w:rFonts w:ascii="Calibri" w:hAnsi="Calibri"/>
                <w:sz w:val="20"/>
              </w:rPr>
              <w:t>30%</w:t>
            </w:r>
          </w:p>
        </w:tc>
      </w:tr>
      <w:tr>
        <w:tc>
          <w:tcPr>
            <w:tcW w:type="dxa" w:w="2880"/>
          </w:tcPr>
          <w:p>
            <w:r/>
            <w:r>
              <w:rPr>
                <w:rFonts w:ascii="Calibri" w:hAnsi="Calibri"/>
                <w:sz w:val="20"/>
              </w:rPr>
              <w:t>EV/EBITDA on 2026E</w:t>
            </w:r>
          </w:p>
        </w:tc>
        <w:tc>
          <w:tcPr>
            <w:tcW w:type="dxa" w:w="2592"/>
          </w:tcPr>
          <w:p>
            <w:r/>
            <w:r>
              <w:rPr>
                <w:rFonts w:ascii="Calibri" w:hAnsi="Calibri"/>
                <w:sz w:val="20"/>
              </w:rPr>
              <w:t>13.5x x ~$18.5B EBITDA</w:t>
            </w:r>
          </w:p>
        </w:tc>
        <w:tc>
          <w:tcPr>
            <w:tcW w:type="dxa" w:w="2016"/>
          </w:tcPr>
          <w:p>
            <w:r/>
            <w:r>
              <w:rPr>
                <w:rFonts w:ascii="Calibri" w:hAnsi="Calibri"/>
                <w:sz w:val="20"/>
              </w:rPr>
              <w:t>$378</w:t>
            </w:r>
          </w:p>
        </w:tc>
        <w:tc>
          <w:tcPr>
            <w:tcW w:type="dxa" w:w="1440"/>
          </w:tcPr>
          <w:p>
            <w:r/>
            <w:r>
              <w:rPr>
                <w:rFonts w:ascii="Calibri" w:hAnsi="Calibri"/>
                <w:sz w:val="20"/>
              </w:rPr>
              <w:t>20%</w:t>
            </w:r>
          </w:p>
        </w:tc>
      </w:tr>
      <w:tr>
        <w:tc>
          <w:tcPr>
            <w:tcW w:type="dxa" w:w="2880"/>
            <w:shd w:val="clear" w:color="auto" w:fill="F4F7FB"/>
          </w:tcPr>
          <w:p>
            <w:r/>
            <w:r>
              <w:rPr>
                <w:rFonts w:ascii="Calibri" w:hAnsi="Calibri"/>
                <w:sz w:val="20"/>
              </w:rPr>
              <w:t>Blended price target</w:t>
            </w:r>
          </w:p>
        </w:tc>
        <w:tc>
          <w:tcPr>
            <w:tcW w:type="dxa" w:w="2592"/>
            <w:shd w:val="clear" w:color="auto" w:fill="F4F7FB"/>
          </w:tcPr>
          <w:p>
            <w:r/>
            <w:r>
              <w:rPr>
                <w:rFonts w:ascii="Calibri" w:hAnsi="Calibri"/>
                <w:sz w:val="20"/>
              </w:rPr>
              <w:t>-</w:t>
            </w:r>
          </w:p>
        </w:tc>
        <w:tc>
          <w:tcPr>
            <w:tcW w:type="dxa" w:w="2016"/>
            <w:shd w:val="clear" w:color="auto" w:fill="F4F7FB"/>
          </w:tcPr>
          <w:p>
            <w:r/>
            <w:r>
              <w:rPr>
                <w:rFonts w:ascii="Calibri" w:hAnsi="Calibri"/>
                <w:sz w:val="20"/>
              </w:rPr>
              <w:t>$385</w:t>
            </w:r>
          </w:p>
        </w:tc>
        <w:tc>
          <w:tcPr>
            <w:tcW w:type="dxa" w:w="1440"/>
            <w:shd w:val="clear" w:color="auto" w:fill="F4F7FB"/>
          </w:tcPr>
          <w:p>
            <w:r/>
            <w:r>
              <w:rPr>
                <w:rFonts w:ascii="Calibri" w:hAnsi="Calibri"/>
                <w:sz w:val="20"/>
              </w:rPr>
              <w:t>100%</w:t>
            </w:r>
          </w:p>
        </w:tc>
      </w:tr>
    </w:tbl>
    <w:p>
      <w:pPr>
        <w:spacing w:before="200" w:after="80"/>
      </w:pPr>
      <w:r>
        <w:rPr>
          <w:rFonts w:ascii="Calibri" w:hAnsi="Calibri"/>
          <w:b/>
          <w:color w:val="0B2C5C"/>
          <w:sz w:val="28"/>
        </w:rPr>
        <w:t>Multiple History &amp; Peer Comparison</w:t>
      </w:r>
    </w:p>
    <w:tbl>
      <w:tblPr>
        <w:tblStyle w:val="LightGrid-Accent1"/>
        <w:tblW w:type="auto" w:w="0"/>
        <w:tblLayout w:type="fixed"/>
        <w:tblLook w:firstColumn="1" w:firstRow="1" w:lastColumn="0" w:lastRow="0" w:noHBand="0" w:noVBand="1" w:val="04A0"/>
      </w:tblPr>
      <w:tblGrid>
        <w:gridCol w:w="1987"/>
        <w:gridCol w:w="1987"/>
        <w:gridCol w:w="1987"/>
        <w:gridCol w:w="1987"/>
        <w:gridCol w:w="1987"/>
      </w:tblGrid>
      <w:tr>
        <w:tc>
          <w:tcPr>
            <w:tcW w:type="dxa" w:w="3312"/>
            <w:shd w:val="clear" w:color="auto" w:fill="0B2C5C"/>
          </w:tcPr>
          <w:p>
            <w:r/>
            <w:r>
              <w:rPr>
                <w:rFonts w:ascii="Calibri" w:hAnsi="Calibri"/>
                <w:b/>
                <w:color w:val="FFFFFF"/>
                <w:sz w:val="20"/>
              </w:rPr>
              <w:t>Company</w:t>
            </w:r>
          </w:p>
        </w:tc>
        <w:tc>
          <w:tcPr>
            <w:tcW w:type="dxa" w:w="1584"/>
            <w:shd w:val="clear" w:color="auto" w:fill="0B2C5C"/>
          </w:tcPr>
          <w:p>
            <w:r/>
            <w:r>
              <w:rPr>
                <w:rFonts w:ascii="Calibri" w:hAnsi="Calibri"/>
                <w:b/>
                <w:color w:val="FFFFFF"/>
                <w:sz w:val="20"/>
              </w:rPr>
              <w:t>2026E P/E</w:t>
            </w:r>
          </w:p>
        </w:tc>
        <w:tc>
          <w:tcPr>
            <w:tcW w:type="dxa" w:w="1872"/>
            <w:shd w:val="clear" w:color="auto" w:fill="0B2C5C"/>
          </w:tcPr>
          <w:p>
            <w:r/>
            <w:r>
              <w:rPr>
                <w:rFonts w:ascii="Calibri" w:hAnsi="Calibri"/>
                <w:b/>
                <w:color w:val="FFFFFF"/>
                <w:sz w:val="20"/>
              </w:rPr>
              <w:t>2026E EV/EBITDA</w:t>
            </w:r>
          </w:p>
        </w:tc>
        <w:tc>
          <w:tcPr>
            <w:tcW w:type="dxa" w:w="1296"/>
            <w:shd w:val="clear" w:color="auto" w:fill="0B2C5C"/>
          </w:tcPr>
          <w:p>
            <w:r/>
            <w:r>
              <w:rPr>
                <w:rFonts w:ascii="Calibri" w:hAnsi="Calibri"/>
                <w:b/>
                <w:color w:val="FFFFFF"/>
                <w:sz w:val="20"/>
              </w:rPr>
              <w:t>FCF Yield</w:t>
            </w:r>
          </w:p>
        </w:tc>
        <w:tc>
          <w:tcPr>
            <w:tcW w:type="dxa" w:w="1296"/>
            <w:shd w:val="clear" w:color="auto" w:fill="0B2C5C"/>
          </w:tcPr>
          <w:p>
            <w:r/>
            <w:r>
              <w:rPr>
                <w:rFonts w:ascii="Calibri" w:hAnsi="Calibri"/>
                <w:b/>
                <w:color w:val="FFFFFF"/>
                <w:sz w:val="20"/>
              </w:rPr>
              <w:t>Div Yield</w:t>
            </w:r>
          </w:p>
        </w:tc>
      </w:tr>
      <w:tr>
        <w:tc>
          <w:tcPr>
            <w:tcW w:type="dxa" w:w="3312"/>
          </w:tcPr>
          <w:p>
            <w:r/>
            <w:r>
              <w:rPr>
                <w:rFonts w:ascii="Calibri" w:hAnsi="Calibri"/>
                <w:sz w:val="20"/>
              </w:rPr>
              <w:t>Amgen (AMGN)</w:t>
            </w:r>
          </w:p>
        </w:tc>
        <w:tc>
          <w:tcPr>
            <w:tcW w:type="dxa" w:w="1584"/>
          </w:tcPr>
          <w:p>
            <w:r/>
            <w:r>
              <w:rPr>
                <w:rFonts w:ascii="Calibri" w:hAnsi="Calibri"/>
                <w:sz w:val="20"/>
              </w:rPr>
              <w:t>15.7x</w:t>
            </w:r>
          </w:p>
        </w:tc>
        <w:tc>
          <w:tcPr>
            <w:tcW w:type="dxa" w:w="1872"/>
          </w:tcPr>
          <w:p>
            <w:r/>
            <w:r>
              <w:rPr>
                <w:rFonts w:ascii="Calibri" w:hAnsi="Calibri"/>
                <w:sz w:val="20"/>
              </w:rPr>
              <w:t>12.5x</w:t>
            </w:r>
          </w:p>
        </w:tc>
        <w:tc>
          <w:tcPr>
            <w:tcW w:type="dxa" w:w="1296"/>
          </w:tcPr>
          <w:p>
            <w:r/>
            <w:r>
              <w:rPr>
                <w:rFonts w:ascii="Calibri" w:hAnsi="Calibri"/>
                <w:sz w:val="20"/>
              </w:rPr>
              <w:t>5.8%</w:t>
            </w:r>
          </w:p>
        </w:tc>
        <w:tc>
          <w:tcPr>
            <w:tcW w:type="dxa" w:w="1296"/>
          </w:tcPr>
          <w:p>
            <w:r/>
            <w:r>
              <w:rPr>
                <w:rFonts w:ascii="Calibri" w:hAnsi="Calibri"/>
                <w:sz w:val="20"/>
              </w:rPr>
              <w:t>2.8%</w:t>
            </w:r>
          </w:p>
        </w:tc>
      </w:tr>
      <w:tr>
        <w:tc>
          <w:tcPr>
            <w:tcW w:type="dxa" w:w="3312"/>
            <w:shd w:val="clear" w:color="auto" w:fill="F4F7FB"/>
          </w:tcPr>
          <w:p>
            <w:r/>
            <w:r>
              <w:rPr>
                <w:rFonts w:ascii="Calibri" w:hAnsi="Calibri"/>
                <w:sz w:val="20"/>
              </w:rPr>
              <w:t>Eli Lilly (LLY)</w:t>
            </w:r>
          </w:p>
        </w:tc>
        <w:tc>
          <w:tcPr>
            <w:tcW w:type="dxa" w:w="1584"/>
            <w:shd w:val="clear" w:color="auto" w:fill="F4F7FB"/>
          </w:tcPr>
          <w:p>
            <w:r/>
            <w:r>
              <w:rPr>
                <w:rFonts w:ascii="Calibri" w:hAnsi="Calibri"/>
                <w:sz w:val="20"/>
              </w:rPr>
              <w:t>37.5x</w:t>
            </w:r>
          </w:p>
        </w:tc>
        <w:tc>
          <w:tcPr>
            <w:tcW w:type="dxa" w:w="1872"/>
            <w:shd w:val="clear" w:color="auto" w:fill="F4F7FB"/>
          </w:tcPr>
          <w:p>
            <w:r/>
            <w:r>
              <w:rPr>
                <w:rFonts w:ascii="Calibri" w:hAnsi="Calibri"/>
                <w:sz w:val="20"/>
              </w:rPr>
              <w:t>26.5x</w:t>
            </w:r>
          </w:p>
        </w:tc>
        <w:tc>
          <w:tcPr>
            <w:tcW w:type="dxa" w:w="1296"/>
            <w:shd w:val="clear" w:color="auto" w:fill="F4F7FB"/>
          </w:tcPr>
          <w:p>
            <w:r/>
            <w:r>
              <w:rPr>
                <w:rFonts w:ascii="Calibri" w:hAnsi="Calibri"/>
                <w:sz w:val="20"/>
              </w:rPr>
              <w:t>1.9%</w:t>
            </w:r>
          </w:p>
        </w:tc>
        <w:tc>
          <w:tcPr>
            <w:tcW w:type="dxa" w:w="1296"/>
            <w:shd w:val="clear" w:color="auto" w:fill="F4F7FB"/>
          </w:tcPr>
          <w:p>
            <w:r/>
            <w:r>
              <w:rPr>
                <w:rFonts w:ascii="Calibri" w:hAnsi="Calibri"/>
                <w:sz w:val="20"/>
              </w:rPr>
              <w:t>0.7%</w:t>
            </w:r>
          </w:p>
        </w:tc>
      </w:tr>
      <w:tr>
        <w:tc>
          <w:tcPr>
            <w:tcW w:type="dxa" w:w="3312"/>
          </w:tcPr>
          <w:p>
            <w:r/>
            <w:r>
              <w:rPr>
                <w:rFonts w:ascii="Calibri" w:hAnsi="Calibri"/>
                <w:sz w:val="20"/>
              </w:rPr>
              <w:t>AbbVie (ABBV)</w:t>
            </w:r>
          </w:p>
        </w:tc>
        <w:tc>
          <w:tcPr>
            <w:tcW w:type="dxa" w:w="1584"/>
          </w:tcPr>
          <w:p>
            <w:r/>
            <w:r>
              <w:rPr>
                <w:rFonts w:ascii="Calibri" w:hAnsi="Calibri"/>
                <w:sz w:val="20"/>
              </w:rPr>
              <w:t>16.8x</w:t>
            </w:r>
          </w:p>
        </w:tc>
        <w:tc>
          <w:tcPr>
            <w:tcW w:type="dxa" w:w="1872"/>
          </w:tcPr>
          <w:p>
            <w:r/>
            <w:r>
              <w:rPr>
                <w:rFonts w:ascii="Calibri" w:hAnsi="Calibri"/>
                <w:sz w:val="20"/>
              </w:rPr>
              <w:t>12.4x</w:t>
            </w:r>
          </w:p>
        </w:tc>
        <w:tc>
          <w:tcPr>
            <w:tcW w:type="dxa" w:w="1296"/>
          </w:tcPr>
          <w:p>
            <w:r/>
            <w:r>
              <w:rPr>
                <w:rFonts w:ascii="Calibri" w:hAnsi="Calibri"/>
                <w:sz w:val="20"/>
              </w:rPr>
              <w:t>5.6%</w:t>
            </w:r>
          </w:p>
        </w:tc>
        <w:tc>
          <w:tcPr>
            <w:tcW w:type="dxa" w:w="1296"/>
          </w:tcPr>
          <w:p>
            <w:r/>
            <w:r>
              <w:rPr>
                <w:rFonts w:ascii="Calibri" w:hAnsi="Calibri"/>
                <w:sz w:val="20"/>
              </w:rPr>
              <w:t>3.4%</w:t>
            </w:r>
          </w:p>
        </w:tc>
      </w:tr>
      <w:tr>
        <w:tc>
          <w:tcPr>
            <w:tcW w:type="dxa" w:w="3312"/>
            <w:shd w:val="clear" w:color="auto" w:fill="F4F7FB"/>
          </w:tcPr>
          <w:p>
            <w:r/>
            <w:r>
              <w:rPr>
                <w:rFonts w:ascii="Calibri" w:hAnsi="Calibri"/>
                <w:sz w:val="20"/>
              </w:rPr>
              <w:t>Merck (MRK)</w:t>
            </w:r>
          </w:p>
        </w:tc>
        <w:tc>
          <w:tcPr>
            <w:tcW w:type="dxa" w:w="1584"/>
            <w:shd w:val="clear" w:color="auto" w:fill="F4F7FB"/>
          </w:tcPr>
          <w:p>
            <w:r/>
            <w:r>
              <w:rPr>
                <w:rFonts w:ascii="Calibri" w:hAnsi="Calibri"/>
                <w:sz w:val="20"/>
              </w:rPr>
              <w:t>14.2x</w:t>
            </w:r>
          </w:p>
        </w:tc>
        <w:tc>
          <w:tcPr>
            <w:tcW w:type="dxa" w:w="1872"/>
            <w:shd w:val="clear" w:color="auto" w:fill="F4F7FB"/>
          </w:tcPr>
          <w:p>
            <w:r/>
            <w:r>
              <w:rPr>
                <w:rFonts w:ascii="Calibri" w:hAnsi="Calibri"/>
                <w:sz w:val="20"/>
              </w:rPr>
              <w:t>10.5x</w:t>
            </w:r>
          </w:p>
        </w:tc>
        <w:tc>
          <w:tcPr>
            <w:tcW w:type="dxa" w:w="1296"/>
            <w:shd w:val="clear" w:color="auto" w:fill="F4F7FB"/>
          </w:tcPr>
          <w:p>
            <w:r/>
            <w:r>
              <w:rPr>
                <w:rFonts w:ascii="Calibri" w:hAnsi="Calibri"/>
                <w:sz w:val="20"/>
              </w:rPr>
              <w:t>6.8%</w:t>
            </w:r>
          </w:p>
        </w:tc>
        <w:tc>
          <w:tcPr>
            <w:tcW w:type="dxa" w:w="1296"/>
            <w:shd w:val="clear" w:color="auto" w:fill="F4F7FB"/>
          </w:tcPr>
          <w:p>
            <w:r/>
            <w:r>
              <w:rPr>
                <w:rFonts w:ascii="Calibri" w:hAnsi="Calibri"/>
                <w:sz w:val="20"/>
              </w:rPr>
              <w:t>3.1%</w:t>
            </w:r>
          </w:p>
        </w:tc>
      </w:tr>
      <w:tr>
        <w:tc>
          <w:tcPr>
            <w:tcW w:type="dxa" w:w="3312"/>
          </w:tcPr>
          <w:p>
            <w:r/>
            <w:r>
              <w:rPr>
                <w:rFonts w:ascii="Calibri" w:hAnsi="Calibri"/>
                <w:sz w:val="20"/>
              </w:rPr>
              <w:t>Pfizer (PFE)</w:t>
            </w:r>
          </w:p>
        </w:tc>
        <w:tc>
          <w:tcPr>
            <w:tcW w:type="dxa" w:w="1584"/>
          </w:tcPr>
          <w:p>
            <w:r/>
            <w:r>
              <w:rPr>
                <w:rFonts w:ascii="Calibri" w:hAnsi="Calibri"/>
                <w:sz w:val="20"/>
              </w:rPr>
              <w:t>11.0x</w:t>
            </w:r>
          </w:p>
        </w:tc>
        <w:tc>
          <w:tcPr>
            <w:tcW w:type="dxa" w:w="1872"/>
          </w:tcPr>
          <w:p>
            <w:r/>
            <w:r>
              <w:rPr>
                <w:rFonts w:ascii="Calibri" w:hAnsi="Calibri"/>
                <w:sz w:val="20"/>
              </w:rPr>
              <w:t>8.5x</w:t>
            </w:r>
          </w:p>
        </w:tc>
        <w:tc>
          <w:tcPr>
            <w:tcW w:type="dxa" w:w="1296"/>
          </w:tcPr>
          <w:p>
            <w:r/>
            <w:r>
              <w:rPr>
                <w:rFonts w:ascii="Calibri" w:hAnsi="Calibri"/>
                <w:sz w:val="20"/>
              </w:rPr>
              <w:t>8.7%</w:t>
            </w:r>
          </w:p>
        </w:tc>
        <w:tc>
          <w:tcPr>
            <w:tcW w:type="dxa" w:w="1296"/>
          </w:tcPr>
          <w:p>
            <w:r/>
            <w:r>
              <w:rPr>
                <w:rFonts w:ascii="Calibri" w:hAnsi="Calibri"/>
                <w:sz w:val="20"/>
              </w:rPr>
              <w:t>5.8%</w:t>
            </w:r>
          </w:p>
        </w:tc>
      </w:tr>
      <w:tr>
        <w:tc>
          <w:tcPr>
            <w:tcW w:type="dxa" w:w="3312"/>
            <w:shd w:val="clear" w:color="auto" w:fill="F4F7FB"/>
          </w:tcPr>
          <w:p>
            <w:r/>
            <w:r>
              <w:rPr>
                <w:rFonts w:ascii="Calibri" w:hAnsi="Calibri"/>
                <w:sz w:val="20"/>
              </w:rPr>
              <w:t>Bristol-Myers (BMY)</w:t>
            </w:r>
          </w:p>
        </w:tc>
        <w:tc>
          <w:tcPr>
            <w:tcW w:type="dxa" w:w="1584"/>
            <w:shd w:val="clear" w:color="auto" w:fill="F4F7FB"/>
          </w:tcPr>
          <w:p>
            <w:r/>
            <w:r>
              <w:rPr>
                <w:rFonts w:ascii="Calibri" w:hAnsi="Calibri"/>
                <w:sz w:val="20"/>
              </w:rPr>
              <w:t>9.5x</w:t>
            </w:r>
          </w:p>
        </w:tc>
        <w:tc>
          <w:tcPr>
            <w:tcW w:type="dxa" w:w="1872"/>
            <w:shd w:val="clear" w:color="auto" w:fill="F4F7FB"/>
          </w:tcPr>
          <w:p>
            <w:r/>
            <w:r>
              <w:rPr>
                <w:rFonts w:ascii="Calibri" w:hAnsi="Calibri"/>
                <w:sz w:val="20"/>
              </w:rPr>
              <w:t>7.8x</w:t>
            </w:r>
          </w:p>
        </w:tc>
        <w:tc>
          <w:tcPr>
            <w:tcW w:type="dxa" w:w="1296"/>
            <w:shd w:val="clear" w:color="auto" w:fill="F4F7FB"/>
          </w:tcPr>
          <w:p>
            <w:r/>
            <w:r>
              <w:rPr>
                <w:rFonts w:ascii="Calibri" w:hAnsi="Calibri"/>
                <w:sz w:val="20"/>
              </w:rPr>
              <w:t>10.5%</w:t>
            </w:r>
          </w:p>
        </w:tc>
        <w:tc>
          <w:tcPr>
            <w:tcW w:type="dxa" w:w="1296"/>
            <w:shd w:val="clear" w:color="auto" w:fill="F4F7FB"/>
          </w:tcPr>
          <w:p>
            <w:r/>
            <w:r>
              <w:rPr>
                <w:rFonts w:ascii="Calibri" w:hAnsi="Calibri"/>
                <w:sz w:val="20"/>
              </w:rPr>
              <w:t>4.6%</w:t>
            </w:r>
          </w:p>
        </w:tc>
      </w:tr>
      <w:tr>
        <w:tc>
          <w:tcPr>
            <w:tcW w:type="dxa" w:w="3312"/>
          </w:tcPr>
          <w:p>
            <w:r/>
            <w:r>
              <w:rPr>
                <w:rFonts w:ascii="Calibri" w:hAnsi="Calibri"/>
                <w:sz w:val="20"/>
              </w:rPr>
              <w:t>Johnson &amp; Johnson (JNJ)</w:t>
            </w:r>
          </w:p>
        </w:tc>
        <w:tc>
          <w:tcPr>
            <w:tcW w:type="dxa" w:w="1584"/>
          </w:tcPr>
          <w:p>
            <w:r/>
            <w:r>
              <w:rPr>
                <w:rFonts w:ascii="Calibri" w:hAnsi="Calibri"/>
                <w:sz w:val="20"/>
              </w:rPr>
              <w:t>19.6x</w:t>
            </w:r>
          </w:p>
        </w:tc>
        <w:tc>
          <w:tcPr>
            <w:tcW w:type="dxa" w:w="1872"/>
          </w:tcPr>
          <w:p>
            <w:r/>
            <w:r>
              <w:rPr>
                <w:rFonts w:ascii="Calibri" w:hAnsi="Calibri"/>
                <w:sz w:val="20"/>
              </w:rPr>
              <w:t>13.0x</w:t>
            </w:r>
          </w:p>
        </w:tc>
        <w:tc>
          <w:tcPr>
            <w:tcW w:type="dxa" w:w="1296"/>
          </w:tcPr>
          <w:p>
            <w:r/>
            <w:r>
              <w:rPr>
                <w:rFonts w:ascii="Calibri" w:hAnsi="Calibri"/>
                <w:sz w:val="20"/>
              </w:rPr>
              <w:t>4.6%</w:t>
            </w:r>
          </w:p>
        </w:tc>
        <w:tc>
          <w:tcPr>
            <w:tcW w:type="dxa" w:w="1296"/>
          </w:tcPr>
          <w:p>
            <w:r/>
            <w:r>
              <w:rPr>
                <w:rFonts w:ascii="Calibri" w:hAnsi="Calibri"/>
                <w:sz w:val="20"/>
              </w:rPr>
              <w:t>2.4%</w:t>
            </w:r>
          </w:p>
        </w:tc>
      </w:tr>
      <w:tr>
        <w:tc>
          <w:tcPr>
            <w:tcW w:type="dxa" w:w="3312"/>
            <w:shd w:val="clear" w:color="auto" w:fill="F4F7FB"/>
          </w:tcPr>
          <w:p>
            <w:r/>
            <w:r>
              <w:rPr>
                <w:rFonts w:ascii="Calibri" w:hAnsi="Calibri"/>
                <w:sz w:val="20"/>
              </w:rPr>
              <w:t>Peer Median (ex-AMGN, ex-LLY)</w:t>
            </w:r>
          </w:p>
        </w:tc>
        <w:tc>
          <w:tcPr>
            <w:tcW w:type="dxa" w:w="1584"/>
            <w:shd w:val="clear" w:color="auto" w:fill="F4F7FB"/>
          </w:tcPr>
          <w:p>
            <w:r/>
            <w:r>
              <w:rPr>
                <w:rFonts w:ascii="Calibri" w:hAnsi="Calibri"/>
                <w:sz w:val="20"/>
              </w:rPr>
              <w:t>14.2x</w:t>
            </w:r>
          </w:p>
        </w:tc>
        <w:tc>
          <w:tcPr>
            <w:tcW w:type="dxa" w:w="1872"/>
            <w:shd w:val="clear" w:color="auto" w:fill="F4F7FB"/>
          </w:tcPr>
          <w:p>
            <w:r/>
            <w:r>
              <w:rPr>
                <w:rFonts w:ascii="Calibri" w:hAnsi="Calibri"/>
                <w:sz w:val="20"/>
              </w:rPr>
              <w:t>10.5x</w:t>
            </w:r>
          </w:p>
        </w:tc>
        <w:tc>
          <w:tcPr>
            <w:tcW w:type="dxa" w:w="1296"/>
            <w:shd w:val="clear" w:color="auto" w:fill="F4F7FB"/>
          </w:tcPr>
          <w:p>
            <w:r/>
            <w:r>
              <w:rPr>
                <w:rFonts w:ascii="Calibri" w:hAnsi="Calibri"/>
                <w:sz w:val="20"/>
              </w:rPr>
              <w:t>6.2%</w:t>
            </w:r>
          </w:p>
        </w:tc>
        <w:tc>
          <w:tcPr>
            <w:tcW w:type="dxa" w:w="1296"/>
            <w:shd w:val="clear" w:color="auto" w:fill="F4F7FB"/>
          </w:tcPr>
          <w:p>
            <w:r/>
            <w:r>
              <w:rPr>
                <w:rFonts w:ascii="Calibri" w:hAnsi="Calibri"/>
                <w:sz w:val="20"/>
              </w:rPr>
              <w:t>3.4%</w:t>
            </w:r>
          </w:p>
        </w:tc>
      </w:tr>
    </w:tbl>
    <w:p>
      <w:pPr>
        <w:spacing w:after="80"/>
      </w:pPr>
      <w:r>
        <w:rPr>
          <w:rFonts w:ascii="Calibri" w:hAnsi="Calibri"/>
          <w:b w:val="0"/>
          <w:i/>
          <w:color w:val="555F6B"/>
          <w:sz w:val="18"/>
        </w:rPr>
        <w:t>Source: Finance Index Research; consensus estimates from public sources as of May 2, 2026.</w:t>
      </w:r>
    </w:p>
    <w:p>
      <w:pPr>
        <w:spacing w:after="80"/>
      </w:pPr>
      <w:r>
        <w:rPr>
          <w:rFonts w:ascii="Calibri" w:hAnsi="Calibri"/>
          <w:b w:val="0"/>
          <w:i w:val="0"/>
          <w:sz w:val="21"/>
        </w:rPr>
        <w:t>AMGN trades at a ~10% premium to the peer median ex-LLY on P/E and ~20% premium on EV/EBITDA, which we view as warranted given (a) the highest-conviction obesity optionality outside of LLY/NVO via MariTide's monthly dosing differentiation, (b) the de-risked, six-pillar growth franchise that delivered +6% topline despite IRA price-setting fully in numbers, (c) the rapidly scaling biosimilar P&amp;L (now $3B+ run-rate at +35% growth), and (d) the structural advantage of the BiTE/T-cell engager platform demonstrated by IMDELLTRA's +219% growth as a first-in-class SCLC therapy. We see room for the multiple to expand toward 18-19x as MariTide Phase 3 reads out and the IRA headwind transitions from 'incremental' to 'lapped' in 2H 2026.</w:t>
      </w:r>
    </w:p>
    <w:p>
      <w:pPr>
        <w:spacing w:before="200" w:after="80"/>
      </w:pPr>
      <w:r>
        <w:rPr>
          <w:rFonts w:ascii="Calibri" w:hAnsi="Calibri"/>
          <w:b/>
          <w:color w:val="0B2C5C"/>
          <w:sz w:val="28"/>
        </w:rPr>
        <w:t>Sensitivity - Price Target to MariTide Outcome</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3744"/>
            <w:shd w:val="clear" w:color="auto" w:fill="0B2C5C"/>
          </w:tcPr>
          <w:p>
            <w:r/>
            <w:r>
              <w:rPr>
                <w:rFonts w:ascii="Calibri" w:hAnsi="Calibri"/>
                <w:b/>
                <w:color w:val="FFFFFF"/>
                <w:sz w:val="20"/>
              </w:rPr>
              <w:t>MariTide Phase 3 Outcome</w:t>
            </w:r>
          </w:p>
        </w:tc>
        <w:tc>
          <w:tcPr>
            <w:tcW w:type="dxa" w:w="2736"/>
            <w:shd w:val="clear" w:color="auto" w:fill="0B2C5C"/>
          </w:tcPr>
          <w:p>
            <w:r/>
            <w:r>
              <w:rPr>
                <w:rFonts w:ascii="Calibri" w:hAnsi="Calibri"/>
                <w:b/>
                <w:color w:val="FFFFFF"/>
                <w:sz w:val="20"/>
              </w:rPr>
              <w:t>Implied 2027 Non-GAAP EPS</w:t>
            </w:r>
          </w:p>
        </w:tc>
        <w:tc>
          <w:tcPr>
            <w:tcW w:type="dxa" w:w="1440"/>
            <w:shd w:val="clear" w:color="auto" w:fill="0B2C5C"/>
          </w:tcPr>
          <w:p>
            <w:r/>
            <w:r>
              <w:rPr>
                <w:rFonts w:ascii="Calibri" w:hAnsi="Calibri"/>
                <w:b/>
                <w:color w:val="FFFFFF"/>
                <w:sz w:val="20"/>
              </w:rPr>
              <w:t>Multiple</w:t>
            </w:r>
          </w:p>
        </w:tc>
        <w:tc>
          <w:tcPr>
            <w:tcW w:type="dxa" w:w="1872"/>
            <w:shd w:val="clear" w:color="auto" w:fill="0B2C5C"/>
          </w:tcPr>
          <w:p>
            <w:r/>
            <w:r>
              <w:rPr>
                <w:rFonts w:ascii="Calibri" w:hAnsi="Calibri"/>
                <w:b/>
                <w:color w:val="FFFFFF"/>
                <w:sz w:val="20"/>
              </w:rPr>
              <w:t>PT Sensitivity</w:t>
            </w:r>
          </w:p>
        </w:tc>
      </w:tr>
      <w:tr>
        <w:tc>
          <w:tcPr>
            <w:tcW w:type="dxa" w:w="3744"/>
          </w:tcPr>
          <w:p>
            <w:r/>
            <w:r>
              <w:rPr>
                <w:rFonts w:ascii="Calibri" w:hAnsi="Calibri"/>
                <w:sz w:val="20"/>
              </w:rPr>
              <w:t>Best-in-class on weight loss + tolerability</w:t>
            </w:r>
          </w:p>
        </w:tc>
        <w:tc>
          <w:tcPr>
            <w:tcW w:type="dxa" w:w="2736"/>
          </w:tcPr>
          <w:p>
            <w:r/>
            <w:r>
              <w:rPr>
                <w:rFonts w:ascii="Calibri" w:hAnsi="Calibri"/>
                <w:sz w:val="20"/>
              </w:rPr>
              <w:t>$26.50</w:t>
            </w:r>
          </w:p>
        </w:tc>
        <w:tc>
          <w:tcPr>
            <w:tcW w:type="dxa" w:w="1440"/>
          </w:tcPr>
          <w:p>
            <w:r/>
            <w:r>
              <w:rPr>
                <w:rFonts w:ascii="Calibri" w:hAnsi="Calibri"/>
                <w:sz w:val="20"/>
              </w:rPr>
              <w:t>18.0x</w:t>
            </w:r>
          </w:p>
        </w:tc>
        <w:tc>
          <w:tcPr>
            <w:tcW w:type="dxa" w:w="1872"/>
          </w:tcPr>
          <w:p>
            <w:r/>
            <w:r>
              <w:rPr>
                <w:rFonts w:ascii="Calibri" w:hAnsi="Calibri"/>
                <w:sz w:val="20"/>
              </w:rPr>
              <w:t>+$92 ($477)</w:t>
            </w:r>
          </w:p>
        </w:tc>
      </w:tr>
      <w:tr>
        <w:tc>
          <w:tcPr>
            <w:tcW w:type="dxa" w:w="3744"/>
            <w:shd w:val="clear" w:color="auto" w:fill="F4F7FB"/>
          </w:tcPr>
          <w:p>
            <w:r/>
            <w:r>
              <w:rPr>
                <w:rFonts w:ascii="Calibri" w:hAnsi="Calibri"/>
                <w:sz w:val="20"/>
              </w:rPr>
              <w:t>Competitive, monthly differentiation only</w:t>
            </w:r>
          </w:p>
        </w:tc>
        <w:tc>
          <w:tcPr>
            <w:tcW w:type="dxa" w:w="2736"/>
            <w:shd w:val="clear" w:color="auto" w:fill="F4F7FB"/>
          </w:tcPr>
          <w:p>
            <w:r/>
            <w:r>
              <w:rPr>
                <w:rFonts w:ascii="Calibri" w:hAnsi="Calibri"/>
                <w:sz w:val="20"/>
              </w:rPr>
              <w:t>$25.10</w:t>
            </w:r>
          </w:p>
        </w:tc>
        <w:tc>
          <w:tcPr>
            <w:tcW w:type="dxa" w:w="1440"/>
            <w:shd w:val="clear" w:color="auto" w:fill="F4F7FB"/>
          </w:tcPr>
          <w:p>
            <w:r/>
            <w:r>
              <w:rPr>
                <w:rFonts w:ascii="Calibri" w:hAnsi="Calibri"/>
                <w:sz w:val="20"/>
              </w:rPr>
              <w:t>15.5x</w:t>
            </w:r>
          </w:p>
        </w:tc>
        <w:tc>
          <w:tcPr>
            <w:tcW w:type="dxa" w:w="1872"/>
            <w:shd w:val="clear" w:color="auto" w:fill="F4F7FB"/>
          </w:tcPr>
          <w:p>
            <w:r/>
            <w:r>
              <w:rPr>
                <w:rFonts w:ascii="Calibri" w:hAnsi="Calibri"/>
                <w:sz w:val="20"/>
              </w:rPr>
              <w:t>Base ($385)</w:t>
            </w:r>
          </w:p>
        </w:tc>
      </w:tr>
      <w:tr>
        <w:tc>
          <w:tcPr>
            <w:tcW w:type="dxa" w:w="3744"/>
          </w:tcPr>
          <w:p>
            <w:r/>
            <w:r>
              <w:rPr>
                <w:rFonts w:ascii="Calibri" w:hAnsi="Calibri"/>
                <w:sz w:val="20"/>
              </w:rPr>
              <w:t>Non-inferior, no clear differentiation</w:t>
            </w:r>
          </w:p>
        </w:tc>
        <w:tc>
          <w:tcPr>
            <w:tcW w:type="dxa" w:w="2736"/>
          </w:tcPr>
          <w:p>
            <w:r/>
            <w:r>
              <w:rPr>
                <w:rFonts w:ascii="Calibri" w:hAnsi="Calibri"/>
                <w:sz w:val="20"/>
              </w:rPr>
              <w:t>$23.50</w:t>
            </w:r>
          </w:p>
        </w:tc>
        <w:tc>
          <w:tcPr>
            <w:tcW w:type="dxa" w:w="1440"/>
          </w:tcPr>
          <w:p>
            <w:r/>
            <w:r>
              <w:rPr>
                <w:rFonts w:ascii="Calibri" w:hAnsi="Calibri"/>
                <w:sz w:val="20"/>
              </w:rPr>
              <w:t>13.5x</w:t>
            </w:r>
          </w:p>
        </w:tc>
        <w:tc>
          <w:tcPr>
            <w:tcW w:type="dxa" w:w="1872"/>
          </w:tcPr>
          <w:p>
            <w:r/>
            <w:r>
              <w:rPr>
                <w:rFonts w:ascii="Calibri" w:hAnsi="Calibri"/>
                <w:sz w:val="20"/>
              </w:rPr>
              <w:t>($68) ($317)</w:t>
            </w:r>
          </w:p>
        </w:tc>
      </w:tr>
      <w:tr>
        <w:tc>
          <w:tcPr>
            <w:tcW w:type="dxa" w:w="3744"/>
            <w:shd w:val="clear" w:color="auto" w:fill="F4F7FB"/>
          </w:tcPr>
          <w:p>
            <w:r/>
            <w:r>
              <w:rPr>
                <w:rFonts w:ascii="Calibri" w:hAnsi="Calibri"/>
                <w:sz w:val="20"/>
              </w:rPr>
              <w:t>Phase 3 disappointment / failure</w:t>
            </w:r>
          </w:p>
        </w:tc>
        <w:tc>
          <w:tcPr>
            <w:tcW w:type="dxa" w:w="2736"/>
            <w:shd w:val="clear" w:color="auto" w:fill="F4F7FB"/>
          </w:tcPr>
          <w:p>
            <w:r/>
            <w:r>
              <w:rPr>
                <w:rFonts w:ascii="Calibri" w:hAnsi="Calibri"/>
                <w:sz w:val="20"/>
              </w:rPr>
              <w:t>$22.50</w:t>
            </w:r>
          </w:p>
        </w:tc>
        <w:tc>
          <w:tcPr>
            <w:tcW w:type="dxa" w:w="1440"/>
            <w:shd w:val="clear" w:color="auto" w:fill="F4F7FB"/>
          </w:tcPr>
          <w:p>
            <w:r/>
            <w:r>
              <w:rPr>
                <w:rFonts w:ascii="Calibri" w:hAnsi="Calibri"/>
                <w:sz w:val="20"/>
              </w:rPr>
              <w:t>12.5x</w:t>
            </w:r>
          </w:p>
        </w:tc>
        <w:tc>
          <w:tcPr>
            <w:tcW w:type="dxa" w:w="1872"/>
            <w:shd w:val="clear" w:color="auto" w:fill="F4F7FB"/>
          </w:tcPr>
          <w:p>
            <w:r/>
            <w:r>
              <w:rPr>
                <w:rFonts w:ascii="Calibri" w:hAnsi="Calibri"/>
                <w:sz w:val="20"/>
              </w:rPr>
              <w:t>($104) ($281)</w:t>
            </w:r>
          </w:p>
        </w:tc>
      </w:tr>
    </w:tbl>
    <w:p>
      <w:r>
        <w:br w:type="page"/>
      </w:r>
    </w:p>
    <w:p>
      <w:pPr>
        <w:spacing w:before="200" w:after="80"/>
      </w:pPr>
      <w:r>
        <w:rPr>
          <w:rFonts w:ascii="Calibri" w:hAnsi="Calibri"/>
          <w:b/>
          <w:color w:val="0B2C5C"/>
          <w:sz w:val="28"/>
        </w:rPr>
        <w:t>Catalysts (Next 90 Days)</w:t>
      </w:r>
    </w:p>
    <w:p>
      <w:pPr>
        <w:pStyle w:val="ListBullet"/>
        <w:spacing w:after="40"/>
      </w:pPr>
      <w:r>
        <w:rPr>
          <w:rFonts w:ascii="Calibri" w:hAnsi="Calibri"/>
          <w:sz w:val="21"/>
        </w:rPr>
        <w:t>Q2 2026 earnings release (late July/early August 2026): focus on whether Repatha/Evenity/IMDELLTRA volume momentum is sustaining and whether the Prolia erosion stabilizes around the Q1 trajectory.</w:t>
      </w:r>
    </w:p>
    <w:p>
      <w:pPr>
        <w:pStyle w:val="ListBullet"/>
        <w:spacing w:after="40"/>
      </w:pPr>
      <w:r>
        <w:rPr>
          <w:rFonts w:ascii="Calibri" w:hAnsi="Calibri"/>
          <w:sz w:val="21"/>
        </w:rPr>
        <w:t>MariTide MARITIME Phase 3 enrollment milestones and any interim safety/dosing disclosures at the ADA Scientific Sessions (June 2026) and ESC Congress (August/September 2026).</w:t>
      </w:r>
    </w:p>
    <w:p>
      <w:pPr>
        <w:pStyle w:val="ListBullet"/>
        <w:spacing w:after="40"/>
      </w:pPr>
      <w:r>
        <w:rPr>
          <w:rFonts w:ascii="Calibri" w:hAnsi="Calibri"/>
          <w:sz w:val="21"/>
        </w:rPr>
        <w:t>TAVNEOS FDA decision update: the proposed-withdrawal process includes a hearing and final Commissioner decision; outcome within Q2/Q3 would resolve a key overhang.</w:t>
      </w:r>
    </w:p>
    <w:p>
      <w:pPr>
        <w:pStyle w:val="ListBullet"/>
        <w:spacing w:after="40"/>
      </w:pPr>
      <w:r>
        <w:rPr>
          <w:rFonts w:ascii="Calibri" w:hAnsi="Calibri"/>
          <w:sz w:val="21"/>
        </w:rPr>
        <w:t>BLINCYTO subQ regulatory updates: the subcutaneous formulation BLA is under FDA review with a decision expected in 2H 2026; positive outcome would extend the BiTE franchise's growth runway.</w:t>
      </w:r>
    </w:p>
    <w:p>
      <w:pPr>
        <w:pStyle w:val="ListBullet"/>
        <w:spacing w:after="40"/>
      </w:pPr>
      <w:r>
        <w:rPr>
          <w:rFonts w:ascii="Calibri" w:hAnsi="Calibri"/>
          <w:sz w:val="21"/>
        </w:rPr>
        <w:t>Possible IRS NOPA procedural disclosure: Amgen has indicated it intends to vigorously contest the assessment - any update on protest filing or Tax Court timeline would help investors size the tail risk.</w:t>
      </w:r>
    </w:p>
    <w:p>
      <w:pPr>
        <w:spacing w:before="200" w:after="80"/>
      </w:pPr>
      <w:r>
        <w:rPr>
          <w:rFonts w:ascii="Calibri" w:hAnsi="Calibri"/>
          <w:b/>
          <w:color w:val="0B2C5C"/>
          <w:sz w:val="28"/>
        </w:rPr>
        <w:t>Recommendation</w:t>
      </w:r>
    </w:p>
    <w:p>
      <w:pPr>
        <w:spacing w:after="80"/>
      </w:pPr>
      <w:r>
        <w:rPr>
          <w:rFonts w:ascii="Calibri" w:hAnsi="Calibri"/>
          <w:b/>
          <w:i w:val="0"/>
          <w:sz w:val="21"/>
        </w:rPr>
        <w:t>Reiterate BUY with a raised 12-month price target of $385 (from $345), implying ~10% capital upside plus a ~2.8% dividend yield for total return of ~13%. Q1 2026 was the cleanest possible test of the post-Horizon, post-IRA Amgen franchise - and the franchise passed: revenue grew 6%, non-GAAP EPS grew 5%, six growth pillars accelerated in aggregate, biosimilars added a third structural growth leg, and free cash flow expanded 50% YoY. Management's decision to raise both the revenue and EPS guidance ranges - in the same quarter that absorbed the full IRA Medicare price-setting hit on Enbrel and the bulk of Prolia biosimilar erosion - reinforces our view that the 2026-2028 EPS algorithm is conservative and that consensus 2027 EPS will migrate toward $25 over the next 6 months. AMGN remains our highest-conviction non-LLY large-cap pharma name with optionality in obesity (MariTide) and the most credible BiTE platform in oncology.</w:t>
      </w:r>
    </w:p>
    <w:p>
      <w:pPr>
        <w:pBdr>
          <w:bottom w:val="single" w:sz="8" w:space="1" w:color="0B2C5C"/>
        </w:pBdr>
      </w:pPr>
    </w:p>
    <w:p>
      <w:pPr>
        <w:spacing w:before="200" w:after="80"/>
      </w:pPr>
      <w:r>
        <w:rPr>
          <w:rFonts w:ascii="Calibri" w:hAnsi="Calibri"/>
          <w:b/>
          <w:color w:val="0B2C5C"/>
          <w:sz w:val="28"/>
        </w:rPr>
        <w:t>Sources</w:t>
      </w:r>
    </w:p>
    <w:p>
      <w:pPr>
        <w:pStyle w:val="ListBullet"/>
        <w:spacing w:after="40"/>
      </w:pPr>
      <w:r>
        <w:rPr>
          <w:rFonts w:ascii="Calibri" w:hAnsi="Calibri"/>
          <w:sz w:val="20"/>
        </w:rPr>
        <w:t xml:space="preserve">Amgen - Q1 2026 Earnings Press Release (April 30, 2026) - </w:t>
      </w:r>
      <w:hyperlink r:id="rId9">
        <w:r>
          <w:rPr>
            <w:rFonts w:ascii="Calibri"/>
            <w:sz w:val="20"/>
            <w:color w:val="1F4FB8"/>
            <w:u w:val="single"/>
          </w:rPr>
          <w:t>https://www.amgen.com/newsroom/press-releases/2026/04/amgen-reports-first-quarter-2026-financial-results</w:t>
        </w:r>
      </w:hyperlink>
    </w:p>
    <w:p>
      <w:pPr>
        <w:pStyle w:val="ListBullet"/>
        <w:spacing w:after="40"/>
      </w:pPr>
      <w:r>
        <w:rPr>
          <w:rFonts w:ascii="Calibri" w:hAnsi="Calibri"/>
          <w:sz w:val="20"/>
        </w:rPr>
        <w:t xml:space="preserve">Amgen - Q1 2026 Earnings Call Slides (PDF) - </w:t>
      </w:r>
      <w:hyperlink r:id="rId10">
        <w:r>
          <w:rPr>
            <w:rFonts w:ascii="Calibri"/>
            <w:sz w:val="20"/>
            <w:color w:val="1F4FB8"/>
            <w:u w:val="single"/>
          </w:rPr>
          <w:t>https://investors.amgen.com/static-files/f97cddec-cc50-4749-b33a-05c317ab5e32</w:t>
        </w:r>
      </w:hyperlink>
    </w:p>
    <w:p>
      <w:pPr>
        <w:pStyle w:val="ListBullet"/>
        <w:spacing w:after="40"/>
      </w:pPr>
      <w:r>
        <w:rPr>
          <w:rFonts w:ascii="Calibri" w:hAnsi="Calibri"/>
          <w:sz w:val="20"/>
        </w:rPr>
        <w:t xml:space="preserve">Amgen - Q1 2026 Form 10-Q (SEC EDGAR) - </w:t>
      </w:r>
      <w:hyperlink r:id="rId11">
        <w:r>
          <w:rPr>
            <w:rFonts w:ascii="Calibri"/>
            <w:sz w:val="20"/>
            <w:color w:val="1F4FB8"/>
            <w:u w:val="single"/>
          </w:rPr>
          <w:t>https://www.sec.gov/cgi-bin/browse-edgar?action=getcompany&amp;CIK=0000318154&amp;type=10-Q&amp;dateb=&amp;owner=include&amp;count=40</w:t>
        </w:r>
      </w:hyperlink>
    </w:p>
    <w:p>
      <w:pPr>
        <w:pStyle w:val="ListBullet"/>
        <w:spacing w:after="40"/>
      </w:pPr>
      <w:r>
        <w:rPr>
          <w:rFonts w:ascii="Calibri" w:hAnsi="Calibri"/>
          <w:sz w:val="20"/>
        </w:rPr>
        <w:t xml:space="preserve">Amgen Investor Relations Hub - </w:t>
      </w:r>
      <w:hyperlink r:id="rId12">
        <w:r>
          <w:rPr>
            <w:rFonts w:ascii="Calibri"/>
            <w:sz w:val="20"/>
            <w:color w:val="1F4FB8"/>
            <w:u w:val="single"/>
          </w:rPr>
          <w:t>https://investors.amgen.com/</w:t>
        </w:r>
      </w:hyperlink>
    </w:p>
    <w:p>
      <w:pPr>
        <w:pStyle w:val="ListBullet"/>
        <w:spacing w:after="40"/>
      </w:pPr>
      <w:r>
        <w:rPr>
          <w:rFonts w:ascii="Calibri" w:hAnsi="Calibri"/>
          <w:sz w:val="20"/>
        </w:rPr>
        <w:t xml:space="preserve">PR Newswire - Amgen Reports First Quarter 2026 Financial Results - </w:t>
      </w:r>
      <w:hyperlink r:id="rId13">
        <w:r>
          <w:rPr>
            <w:rFonts w:ascii="Calibri"/>
            <w:sz w:val="20"/>
            <w:color w:val="1F4FB8"/>
            <w:u w:val="single"/>
          </w:rPr>
          <w:t>https://www.prnewswire.com/news-releases/amgen-reports-first-quarter-2026-financial-results-302759393.html</w:t>
        </w:r>
      </w:hyperlink>
    </w:p>
    <w:p>
      <w:pPr>
        <w:pStyle w:val="ListBullet"/>
        <w:spacing w:after="40"/>
      </w:pPr>
      <w:r>
        <w:rPr>
          <w:rFonts w:ascii="Calibri" w:hAnsi="Calibri"/>
          <w:sz w:val="20"/>
        </w:rPr>
        <w:t xml:space="preserve">The Motley Fool - Amgen Q1 2026 Earnings Transcript - </w:t>
      </w:r>
      <w:hyperlink r:id="rId14">
        <w:r>
          <w:rPr>
            <w:rFonts w:ascii="Calibri"/>
            <w:sz w:val="20"/>
            <w:color w:val="1F4FB8"/>
            <w:u w:val="single"/>
          </w:rPr>
          <w:t>https://www.fool.com/earnings/call-transcripts/2026/04/30/amgen-amgn-q1-2026-earnings-transcript/</w:t>
        </w:r>
      </w:hyperlink>
    </w:p>
    <w:p>
      <w:pPr>
        <w:pStyle w:val="ListBullet"/>
        <w:spacing w:after="40"/>
      </w:pPr>
      <w:r>
        <w:rPr>
          <w:rFonts w:ascii="Calibri" w:hAnsi="Calibri"/>
          <w:sz w:val="20"/>
        </w:rPr>
        <w:t xml:space="preserve">Investing.com - Amgen Q1 2026 Beats Expectations, Raises Guidance - </w:t>
      </w:r>
      <w:hyperlink r:id="rId15">
        <w:r>
          <w:rPr>
            <w:rFonts w:ascii="Calibri"/>
            <w:sz w:val="20"/>
            <w:color w:val="1F4FB8"/>
            <w:u w:val="single"/>
          </w:rPr>
          <w:t>https://www.investing.com/news/transcripts/earnings-call-transcript-amgen-q1-2026-beats-expectations-raises-guidance-93CH-4651595</w:t>
        </w:r>
      </w:hyperlink>
    </w:p>
    <w:p>
      <w:pPr>
        <w:pStyle w:val="ListBullet"/>
        <w:spacing w:after="40"/>
      </w:pPr>
      <w:r>
        <w:rPr>
          <w:rFonts w:ascii="Calibri" w:hAnsi="Calibri"/>
          <w:sz w:val="20"/>
        </w:rPr>
        <w:t xml:space="preserve">StockTitan - Amgen 10-Q Q1 2026 Summary - </w:t>
      </w:r>
      <w:hyperlink r:id="rId16">
        <w:r>
          <w:rPr>
            <w:rFonts w:ascii="Calibri"/>
            <w:sz w:val="20"/>
            <w:color w:val="1F4FB8"/>
            <w:u w:val="single"/>
          </w:rPr>
          <w:t>https://www.stocktitan.net/sec-filings/AMGN/10-q-amgen-inc-quarterly-earnings-report-f597efba23aa.html</w:t>
        </w:r>
      </w:hyperlink>
    </w:p>
    <w:p>
      <w:pPr>
        <w:pBdr>
          <w:bottom w:val="single" w:sz="8" w:space="1" w:color="0B2C5C"/>
        </w:pBdr>
      </w:pPr>
    </w:p>
    <w:p>
      <w:pPr>
        <w:spacing w:after="80"/>
      </w:pPr>
      <w:r>
        <w:rPr>
          <w:rFonts w:ascii="Calibri" w:hAnsi="Calibri"/>
          <w:b w:val="0"/>
          <w:i/>
          <w:color w:val="555F6B"/>
          <w:sz w:val="17"/>
        </w:rPr>
        <w:t>DISCLAIMER: This report is produced by Finance Index, an AI-assisted equity research blog. It is for informational and educational purposes only and does not constitute investment advice, an offer to buy or sell any security, or a solicitation of any kind. Estimates, price targets, and ratings reflect the author's opinions as of the report date and are subject to change without notice. Always do your own research and consult a licensed financial advisor before making investment decisions. The author may hold positions in securities discussed.</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mgen.com/newsroom/press-releases/2026/04/amgen-reports-first-quarter-2026-financial-results" TargetMode="External"/><Relationship Id="rId10" Type="http://schemas.openxmlformats.org/officeDocument/2006/relationships/hyperlink" Target="https://investors.amgen.com/static-files/f97cddec-cc50-4749-b33a-05c317ab5e32" TargetMode="External"/><Relationship Id="rId11" Type="http://schemas.openxmlformats.org/officeDocument/2006/relationships/hyperlink" Target="https://www.sec.gov/cgi-bin/browse-edgar?action=getcompany&amp;CIK=0000318154&amp;type=10-Q&amp;dateb=&amp;owner=include&amp;count=40" TargetMode="External"/><Relationship Id="rId12" Type="http://schemas.openxmlformats.org/officeDocument/2006/relationships/hyperlink" Target="https://investors.amgen.com/" TargetMode="External"/><Relationship Id="rId13" Type="http://schemas.openxmlformats.org/officeDocument/2006/relationships/hyperlink" Target="https://www.prnewswire.com/news-releases/amgen-reports-first-quarter-2026-financial-results-302759393.html" TargetMode="External"/><Relationship Id="rId14" Type="http://schemas.openxmlformats.org/officeDocument/2006/relationships/hyperlink" Target="https://www.fool.com/earnings/call-transcripts/2026/04/30/amgen-amgn-q1-2026-earnings-transcript/" TargetMode="External"/><Relationship Id="rId15" Type="http://schemas.openxmlformats.org/officeDocument/2006/relationships/hyperlink" Target="https://www.investing.com/news/transcripts/earnings-call-transcript-amgen-q1-2026-beats-expectations-raises-guidance-93CH-4651595" TargetMode="External"/><Relationship Id="rId16" Type="http://schemas.openxmlformats.org/officeDocument/2006/relationships/hyperlink" Target="https://www.stocktitan.net/sec-filings/AMGN/10-q-amgen-inc-quarterly-earnings-report-f597efba23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